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C777" w14:textId="77777777" w:rsidR="00451BBE" w:rsidRDefault="00451BBE" w:rsidP="00451BBE">
      <w:pPr>
        <w:jc w:val="center"/>
      </w:pPr>
    </w:p>
    <w:p w14:paraId="42059D99" w14:textId="77777777" w:rsidR="00451BBE" w:rsidRDefault="00451BBE" w:rsidP="00451BBE">
      <w:pPr>
        <w:jc w:val="center"/>
      </w:pPr>
    </w:p>
    <w:p w14:paraId="669B3E06" w14:textId="77777777" w:rsidR="00451BBE" w:rsidRPr="00451BBE" w:rsidRDefault="00451BBE" w:rsidP="00451BBE">
      <w:pPr>
        <w:jc w:val="center"/>
        <w:rPr>
          <w:b/>
          <w:bCs/>
        </w:rPr>
      </w:pPr>
    </w:p>
    <w:p w14:paraId="1FD79F55" w14:textId="6C7BDB5C" w:rsidR="00961106" w:rsidRPr="00451BBE" w:rsidRDefault="00FF0978" w:rsidP="00451BBE">
      <w:pPr>
        <w:jc w:val="center"/>
        <w:rPr>
          <w:b/>
          <w:bCs/>
        </w:rPr>
      </w:pPr>
      <w:r w:rsidRPr="00451BBE">
        <w:rPr>
          <w:b/>
          <w:bCs/>
        </w:rPr>
        <w:t>PROTOCOLO PARA LA ATENCIÓN POR EXPOSICIÓN DE RIESGO BIOLÓGICO LABORAL O NO LABORAL, ANTE LAS INFECCIONES DE TRANSMISIÓN SEXUAL, EL VIRUS DE INMUNODEFICIENCIA HUMANA, EL VIRUS DE LA HEPATITIS B Y EL VIRUS DE LA HEPATITIS C.</w:t>
      </w:r>
    </w:p>
    <w:p w14:paraId="3D92AE73" w14:textId="3F3B3C42" w:rsidR="00FF0978" w:rsidRDefault="00FF0978" w:rsidP="00FF0978"/>
    <w:p w14:paraId="4CF2D972" w14:textId="77777777" w:rsidR="00451BBE" w:rsidRDefault="00451BBE" w:rsidP="00451BBE">
      <w:pPr>
        <w:jc w:val="center"/>
      </w:pPr>
    </w:p>
    <w:p w14:paraId="001E5CA3" w14:textId="77777777" w:rsidR="00451BBE" w:rsidRDefault="00451BBE" w:rsidP="00451BBE">
      <w:pPr>
        <w:jc w:val="center"/>
      </w:pPr>
    </w:p>
    <w:p w14:paraId="45D58904" w14:textId="77777777" w:rsidR="00451BBE" w:rsidRDefault="00451BBE" w:rsidP="00451BBE">
      <w:pPr>
        <w:jc w:val="center"/>
      </w:pPr>
    </w:p>
    <w:p w14:paraId="1EBAF3DA" w14:textId="77777777" w:rsidR="00451BBE" w:rsidRDefault="00451BBE" w:rsidP="00451BBE">
      <w:pPr>
        <w:jc w:val="center"/>
      </w:pPr>
    </w:p>
    <w:p w14:paraId="028DF0FA" w14:textId="2BF630CD" w:rsidR="00FF0978" w:rsidRDefault="00FF0978" w:rsidP="00451BBE">
      <w:pPr>
        <w:jc w:val="center"/>
      </w:pPr>
      <w:r>
        <w:t>MINISTERIO DE SALUD Y PROTECCIÓN SOCIAL</w:t>
      </w:r>
    </w:p>
    <w:p w14:paraId="1A6260BE" w14:textId="77777777" w:rsidR="00FF0978" w:rsidRDefault="00FF0978" w:rsidP="00451BBE">
      <w:pPr>
        <w:jc w:val="center"/>
      </w:pPr>
      <w:r>
        <w:t>Dirección de Promoción y Prevención</w:t>
      </w:r>
    </w:p>
    <w:p w14:paraId="5E837895" w14:textId="10133826" w:rsidR="00FF0978" w:rsidRDefault="00FF0978" w:rsidP="00451BBE">
      <w:pPr>
        <w:jc w:val="center"/>
      </w:pPr>
      <w:r>
        <w:t>Grupo de Sexualidad y Derechos Sexuales y Reproductivos</w:t>
      </w:r>
    </w:p>
    <w:p w14:paraId="20657122" w14:textId="77777777" w:rsidR="00451BBE" w:rsidRDefault="00451BBE" w:rsidP="00451BBE">
      <w:pPr>
        <w:jc w:val="center"/>
      </w:pPr>
    </w:p>
    <w:p w14:paraId="37D80EB0" w14:textId="77777777" w:rsidR="00451BBE" w:rsidRDefault="00451BBE" w:rsidP="00451BBE">
      <w:pPr>
        <w:jc w:val="center"/>
      </w:pPr>
    </w:p>
    <w:p w14:paraId="17CDD77C" w14:textId="77777777" w:rsidR="00451BBE" w:rsidRDefault="00451BBE" w:rsidP="00451BBE">
      <w:pPr>
        <w:jc w:val="center"/>
      </w:pPr>
    </w:p>
    <w:p w14:paraId="2DF3C16B" w14:textId="77777777" w:rsidR="00451BBE" w:rsidRDefault="00451BBE" w:rsidP="00451BBE">
      <w:pPr>
        <w:jc w:val="center"/>
      </w:pPr>
    </w:p>
    <w:p w14:paraId="4C5DC8D2" w14:textId="4ED073B5" w:rsidR="00FF0978" w:rsidRDefault="00FF0978" w:rsidP="00451BBE">
      <w:pPr>
        <w:jc w:val="center"/>
      </w:pPr>
      <w:r w:rsidRPr="00FF0978">
        <w:t>Noviembre de 2017</w:t>
      </w:r>
    </w:p>
    <w:p w14:paraId="5F1BAD91" w14:textId="6CA751B5" w:rsidR="006E4D64" w:rsidRDefault="006E4D64" w:rsidP="00FF0978"/>
    <w:p w14:paraId="69F66B50" w14:textId="2D7FBEE5" w:rsidR="00451BBE" w:rsidRDefault="00451BBE" w:rsidP="00FF0978"/>
    <w:p w14:paraId="18CB2113" w14:textId="77777777" w:rsidR="00451BBE" w:rsidRDefault="00451BBE" w:rsidP="00FF0978"/>
    <w:p w14:paraId="4821C6DB" w14:textId="52D6A190" w:rsidR="006E4D64" w:rsidRDefault="006E4D64" w:rsidP="00FF0978"/>
    <w:p w14:paraId="0F0101A2" w14:textId="34A8620B" w:rsidR="006E4D64" w:rsidRDefault="006E4D64" w:rsidP="00FF0978"/>
    <w:p w14:paraId="3AC610B2" w14:textId="5B7B4831" w:rsidR="006E4D64" w:rsidRDefault="006E4D64" w:rsidP="00FF0978"/>
    <w:p w14:paraId="238D5D3D" w14:textId="013EB40C" w:rsidR="006E4D64" w:rsidRDefault="006E4D64" w:rsidP="00FF0978"/>
    <w:p w14:paraId="5D8DDD64" w14:textId="2673258A" w:rsidR="006E4D64" w:rsidRDefault="006E4D64" w:rsidP="00FF0978"/>
    <w:p w14:paraId="6FB22587" w14:textId="0C12D406" w:rsidR="00573B6E" w:rsidRDefault="00573B6E" w:rsidP="00FF0978"/>
    <w:p w14:paraId="052F5AB8" w14:textId="48ECBF0E" w:rsidR="00704447" w:rsidRDefault="00704447" w:rsidP="00704447">
      <w:pPr>
        <w:spacing w:line="240" w:lineRule="auto"/>
      </w:pPr>
      <w:r>
        <w:t>INFECCIONES DE TRANSMISIÓN SEXUAL, EL VIRUS DE INMUNODEFICIENCIAHUMANA, EL VIRUS DE LA HEPATITIS B Y</w:t>
      </w:r>
      <w:r>
        <w:t xml:space="preserve"> </w:t>
      </w:r>
      <w:r>
        <w:t>ELVIRUS DE LA HEPATITIS C.</w:t>
      </w:r>
    </w:p>
    <w:p w14:paraId="2515CE66" w14:textId="77777777" w:rsidR="00704447" w:rsidRDefault="00704447" w:rsidP="00704447">
      <w:pPr>
        <w:spacing w:line="240" w:lineRule="auto"/>
      </w:pPr>
      <w:r>
        <w:t>Redacción y revisión</w:t>
      </w:r>
    </w:p>
    <w:p w14:paraId="209BB504" w14:textId="341BAF03" w:rsidR="00704447" w:rsidRDefault="00704447" w:rsidP="00704447">
      <w:pPr>
        <w:spacing w:line="240" w:lineRule="auto"/>
      </w:pPr>
      <w:r>
        <w:t>LILIANA ANDRADE FORERO</w:t>
      </w:r>
    </w:p>
    <w:p w14:paraId="107C1892" w14:textId="77777777" w:rsidR="00704447" w:rsidRDefault="00704447" w:rsidP="00704447">
      <w:pPr>
        <w:spacing w:line="240" w:lineRule="auto"/>
      </w:pPr>
      <w:r>
        <w:t xml:space="preserve">MD. </w:t>
      </w:r>
      <w:proofErr w:type="spellStart"/>
      <w:r>
        <w:t>MSc</w:t>
      </w:r>
      <w:proofErr w:type="spellEnd"/>
      <w:r>
        <w:t>. Medicina Tropical y Salud Internacional (UB). VIH. (URJC)</w:t>
      </w:r>
    </w:p>
    <w:p w14:paraId="03C762C6" w14:textId="77777777" w:rsidR="00704447" w:rsidRDefault="00704447" w:rsidP="00704447">
      <w:pPr>
        <w:spacing w:line="240" w:lineRule="auto"/>
      </w:pPr>
      <w:r>
        <w:t>Contratista.</w:t>
      </w:r>
    </w:p>
    <w:p w14:paraId="1324EF38" w14:textId="77777777" w:rsidR="00704447" w:rsidRDefault="00704447" w:rsidP="00704447">
      <w:pPr>
        <w:spacing w:line="240" w:lineRule="auto"/>
      </w:pPr>
      <w:r>
        <w:t>DIRECCIÓN DE PROMOCIÓN Y PREVENCIÓN</w:t>
      </w:r>
    </w:p>
    <w:p w14:paraId="495CB4A8" w14:textId="25BC7153" w:rsidR="00704447" w:rsidRDefault="00704447" w:rsidP="00704447">
      <w:pPr>
        <w:spacing w:line="240" w:lineRule="auto"/>
      </w:pPr>
      <w:r>
        <w:t xml:space="preserve">Bogotá D. </w:t>
      </w:r>
      <w:r w:rsidR="00C2386C">
        <w:t>C.</w:t>
      </w:r>
      <w:r>
        <w:t xml:space="preserve"> Noviembre de 2017</w:t>
      </w:r>
    </w:p>
    <w:sdt>
      <w:sdtPr>
        <w:rPr>
          <w:lang w:val="es-ES"/>
        </w:rPr>
        <w:id w:val="-94769749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59E3D1D" w14:textId="2A4B6684" w:rsidR="00573B6E" w:rsidRPr="00573B6E" w:rsidRDefault="00573B6E" w:rsidP="00573B6E">
          <w:pPr>
            <w:pStyle w:val="TtuloTDC"/>
            <w:jc w:val="center"/>
            <w:rPr>
              <w:rFonts w:asciiTheme="minorHAnsi" w:hAnsiTheme="minorHAnsi" w:cstheme="minorHAnsi"/>
              <w:b/>
              <w:bCs/>
            </w:rPr>
          </w:pPr>
          <w:r w:rsidRPr="00573B6E">
            <w:rPr>
              <w:rFonts w:asciiTheme="minorHAnsi" w:hAnsiTheme="minorHAnsi" w:cstheme="minorHAnsi"/>
              <w:b/>
              <w:bCs/>
              <w:lang w:val="es-ES"/>
            </w:rPr>
            <w:t>Contenido</w:t>
          </w:r>
        </w:p>
        <w:p w14:paraId="6860C7F0" w14:textId="3BA3B8B1" w:rsidR="00573B6E" w:rsidRPr="00573B6E" w:rsidRDefault="00573B6E">
          <w:pPr>
            <w:pStyle w:val="TDC1"/>
            <w:tabs>
              <w:tab w:val="right" w:leader="dot" w:pos="8828"/>
            </w:tabs>
            <w:rPr>
              <w:rFonts w:cstheme="minorHAnsi"/>
              <w:noProof/>
            </w:rPr>
          </w:pPr>
          <w:r>
            <w:fldChar w:fldCharType="begin"/>
          </w:r>
          <w:r>
            <w:instrText xml:space="preserve"> TOC \o "1-3" \h \z \u </w:instrText>
          </w:r>
          <w:r>
            <w:fldChar w:fldCharType="separate"/>
          </w:r>
          <w:hyperlink w:anchor="_Toc84920660" w:history="1">
            <w:r w:rsidRPr="00573B6E">
              <w:rPr>
                <w:rStyle w:val="Hipervnculo"/>
                <w:rFonts w:cstheme="minorHAnsi"/>
                <w:noProof/>
              </w:rPr>
              <w:t>1. INTRODUCCIÓN2</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_Toc84920660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4</w:t>
            </w:r>
            <w:r w:rsidRPr="00573B6E">
              <w:rPr>
                <w:rFonts w:cstheme="minorHAnsi"/>
                <w:noProof/>
                <w:webHidden/>
              </w:rPr>
              <w:fldChar w:fldCharType="end"/>
            </w:r>
          </w:hyperlink>
        </w:p>
        <w:p w14:paraId="63E32970" w14:textId="526F5017" w:rsidR="00573B6E" w:rsidRPr="00573B6E" w:rsidRDefault="00573B6E">
          <w:pPr>
            <w:pStyle w:val="TDC1"/>
            <w:tabs>
              <w:tab w:val="right" w:leader="dot" w:pos="8828"/>
            </w:tabs>
            <w:rPr>
              <w:rFonts w:cstheme="minorHAnsi"/>
              <w:noProof/>
            </w:rPr>
          </w:pPr>
          <w:hyperlink w:anchor="_Toc84920661" w:history="1">
            <w:r w:rsidRPr="00573B6E">
              <w:rPr>
                <w:rStyle w:val="Hipervnculo"/>
                <w:rFonts w:cstheme="minorHAnsi"/>
                <w:noProof/>
              </w:rPr>
              <w:t>2. OBJETIVO.</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_Toc84920661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6</w:t>
            </w:r>
            <w:r w:rsidRPr="00573B6E">
              <w:rPr>
                <w:rFonts w:cstheme="minorHAnsi"/>
                <w:noProof/>
                <w:webHidden/>
              </w:rPr>
              <w:fldChar w:fldCharType="end"/>
            </w:r>
          </w:hyperlink>
        </w:p>
        <w:p w14:paraId="1CB99311" w14:textId="76023633" w:rsidR="00573B6E" w:rsidRPr="00573B6E" w:rsidRDefault="00573B6E">
          <w:pPr>
            <w:pStyle w:val="TDC1"/>
            <w:tabs>
              <w:tab w:val="right" w:leader="dot" w:pos="8828"/>
            </w:tabs>
            <w:rPr>
              <w:rFonts w:cstheme="minorHAnsi"/>
              <w:noProof/>
            </w:rPr>
          </w:pPr>
          <w:hyperlink w:anchor="_Toc84920662" w:history="1">
            <w:r w:rsidRPr="00573B6E">
              <w:rPr>
                <w:rStyle w:val="Hipervnculo"/>
                <w:rFonts w:cstheme="minorHAnsi"/>
                <w:noProof/>
              </w:rPr>
              <w:t>3. DEFINICIONES OPERATIVAS.</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_Toc84920662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6</w:t>
            </w:r>
            <w:r w:rsidRPr="00573B6E">
              <w:rPr>
                <w:rFonts w:cstheme="minorHAnsi"/>
                <w:noProof/>
                <w:webHidden/>
              </w:rPr>
              <w:fldChar w:fldCharType="end"/>
            </w:r>
          </w:hyperlink>
        </w:p>
        <w:p w14:paraId="164BC3CD" w14:textId="140B4396" w:rsidR="00573B6E" w:rsidRPr="00573B6E" w:rsidRDefault="00573B6E">
          <w:pPr>
            <w:pStyle w:val="TDC1"/>
            <w:tabs>
              <w:tab w:val="right" w:leader="dot" w:pos="8828"/>
            </w:tabs>
            <w:rPr>
              <w:rFonts w:cstheme="minorHAnsi"/>
              <w:noProof/>
            </w:rPr>
          </w:pPr>
          <w:hyperlink w:anchor="_Toc84920663" w:history="1">
            <w:r w:rsidRPr="00573B6E">
              <w:rPr>
                <w:rStyle w:val="Hipervnculo"/>
                <w:rFonts w:cstheme="minorHAnsi"/>
                <w:noProof/>
              </w:rPr>
              <w:t>4. METODOLOGÍA.</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_Toc84920663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9</w:t>
            </w:r>
            <w:r w:rsidRPr="00573B6E">
              <w:rPr>
                <w:rFonts w:cstheme="minorHAnsi"/>
                <w:noProof/>
                <w:webHidden/>
              </w:rPr>
              <w:fldChar w:fldCharType="end"/>
            </w:r>
          </w:hyperlink>
        </w:p>
        <w:p w14:paraId="73A35407" w14:textId="39801512" w:rsidR="00573B6E" w:rsidRPr="00573B6E" w:rsidRDefault="00573B6E">
          <w:pPr>
            <w:pStyle w:val="TDC1"/>
            <w:tabs>
              <w:tab w:val="right" w:leader="dot" w:pos="8828"/>
            </w:tabs>
            <w:rPr>
              <w:rFonts w:cstheme="minorHAnsi"/>
              <w:noProof/>
            </w:rPr>
          </w:pPr>
          <w:hyperlink w:anchor="_Toc84920664" w:history="1">
            <w:r w:rsidRPr="00573B6E">
              <w:rPr>
                <w:rStyle w:val="Hipervnculo"/>
                <w:rFonts w:cstheme="minorHAnsi"/>
                <w:noProof/>
              </w:rPr>
              <w:t>5. MANEJO MÉDICO DE LA EXPOSICIÓN LABORAL O NO LABORAL ANTE LAS ITS, VIH, VHB Y EL VHC.</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_Toc84920664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11</w:t>
            </w:r>
            <w:r w:rsidRPr="00573B6E">
              <w:rPr>
                <w:rFonts w:cstheme="minorHAnsi"/>
                <w:noProof/>
                <w:webHidden/>
              </w:rPr>
              <w:fldChar w:fldCharType="end"/>
            </w:r>
          </w:hyperlink>
        </w:p>
        <w:p w14:paraId="5BDB9876" w14:textId="1B1CBC22" w:rsidR="00573B6E" w:rsidRPr="00573B6E" w:rsidRDefault="00573B6E">
          <w:pPr>
            <w:pStyle w:val="TDC2"/>
            <w:tabs>
              <w:tab w:val="right" w:leader="dot" w:pos="8828"/>
            </w:tabs>
            <w:rPr>
              <w:rFonts w:cstheme="minorHAnsi"/>
              <w:noProof/>
            </w:rPr>
          </w:pPr>
          <w:hyperlink w:anchor="_Toc84920665" w:history="1">
            <w:r w:rsidRPr="00573B6E">
              <w:rPr>
                <w:rStyle w:val="Hipervnculo"/>
                <w:rFonts w:cstheme="minorHAnsi"/>
                <w:noProof/>
              </w:rPr>
              <w:t>5.1 Caracterización de la exposición de riesgo laboral o no laboral</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_Toc84920665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11</w:t>
            </w:r>
            <w:r w:rsidRPr="00573B6E">
              <w:rPr>
                <w:rFonts w:cstheme="minorHAnsi"/>
                <w:noProof/>
                <w:webHidden/>
              </w:rPr>
              <w:fldChar w:fldCharType="end"/>
            </w:r>
          </w:hyperlink>
        </w:p>
        <w:p w14:paraId="1274D3E4" w14:textId="5B688E70" w:rsidR="00573B6E" w:rsidRPr="00573B6E" w:rsidRDefault="00573B6E">
          <w:pPr>
            <w:pStyle w:val="TDC1"/>
            <w:tabs>
              <w:tab w:val="right" w:leader="dot" w:pos="8828"/>
            </w:tabs>
            <w:rPr>
              <w:rFonts w:cstheme="minorHAnsi"/>
              <w:noProof/>
            </w:rPr>
          </w:pPr>
          <w:hyperlink w:anchor="_Toc84920666" w:history="1">
            <w:r w:rsidRPr="00573B6E">
              <w:rPr>
                <w:rStyle w:val="Hipervnculo"/>
                <w:rFonts w:cstheme="minorHAnsi"/>
                <w:noProof/>
              </w:rPr>
              <w:t>5.2 Evaluación del riesgo ante una exposición de riesgo ocupacional (EO).</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_Toc84920666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12</w:t>
            </w:r>
            <w:r w:rsidRPr="00573B6E">
              <w:rPr>
                <w:rFonts w:cstheme="minorHAnsi"/>
                <w:noProof/>
                <w:webHidden/>
              </w:rPr>
              <w:fldChar w:fldCharType="end"/>
            </w:r>
          </w:hyperlink>
        </w:p>
        <w:p w14:paraId="26F19052" w14:textId="428DE856" w:rsidR="00573B6E" w:rsidRPr="00573B6E" w:rsidRDefault="00573B6E">
          <w:pPr>
            <w:pStyle w:val="TDC1"/>
            <w:tabs>
              <w:tab w:val="right" w:leader="dot" w:pos="8828"/>
            </w:tabs>
            <w:rPr>
              <w:rFonts w:cstheme="minorHAnsi"/>
              <w:noProof/>
            </w:rPr>
          </w:pPr>
          <w:hyperlink w:anchor="_Toc84920667" w:history="1">
            <w:r w:rsidRPr="00573B6E">
              <w:rPr>
                <w:rStyle w:val="Hipervnculo"/>
                <w:rFonts w:cstheme="minorHAnsi"/>
                <w:noProof/>
              </w:rPr>
              <w:t>5.3 Recomendaciones para decidir iniciar profilaxis ante una exposición de riesgo biológico ocupacional (ERBO)7</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_Toc84920667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14</w:t>
            </w:r>
            <w:r w:rsidRPr="00573B6E">
              <w:rPr>
                <w:rFonts w:cstheme="minorHAnsi"/>
                <w:noProof/>
                <w:webHidden/>
              </w:rPr>
              <w:fldChar w:fldCharType="end"/>
            </w:r>
          </w:hyperlink>
        </w:p>
        <w:p w14:paraId="1C3A6000" w14:textId="6325088F" w:rsidR="00573B6E" w:rsidRPr="00573B6E" w:rsidRDefault="00573B6E">
          <w:pPr>
            <w:pStyle w:val="TDC1"/>
            <w:tabs>
              <w:tab w:val="right" w:leader="dot" w:pos="8828"/>
            </w:tabs>
            <w:rPr>
              <w:rFonts w:cstheme="minorHAnsi"/>
              <w:noProof/>
            </w:rPr>
          </w:pPr>
          <w:hyperlink w:anchor="_Toc84920668" w:history="1">
            <w:r w:rsidRPr="00573B6E">
              <w:rPr>
                <w:rStyle w:val="Hipervnculo"/>
                <w:rFonts w:cstheme="minorHAnsi"/>
                <w:noProof/>
              </w:rPr>
              <w:t>5.4 Evaluación del riesgo ante una exposición de riesgo biológico no ocupacional (ERBNO).</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_Toc84920668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14</w:t>
            </w:r>
            <w:r w:rsidRPr="00573B6E">
              <w:rPr>
                <w:rFonts w:cstheme="minorHAnsi"/>
                <w:noProof/>
                <w:webHidden/>
              </w:rPr>
              <w:fldChar w:fldCharType="end"/>
            </w:r>
          </w:hyperlink>
        </w:p>
        <w:p w14:paraId="06819B0C" w14:textId="354F1C9B" w:rsidR="00573B6E" w:rsidRPr="00573B6E" w:rsidRDefault="00573B6E">
          <w:pPr>
            <w:pStyle w:val="TDC1"/>
            <w:tabs>
              <w:tab w:val="right" w:leader="dot" w:pos="8828"/>
            </w:tabs>
            <w:rPr>
              <w:rFonts w:cstheme="minorHAnsi"/>
              <w:noProof/>
            </w:rPr>
          </w:pPr>
          <w:hyperlink w:anchor="_Toc84920669" w:history="1">
            <w:r w:rsidRPr="00573B6E">
              <w:rPr>
                <w:rStyle w:val="Hipervnculo"/>
                <w:rFonts w:cstheme="minorHAnsi"/>
                <w:noProof/>
              </w:rPr>
              <w:t>5.5 Recomendaciones generales ante una exposición de riesgo biológico.12</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_Toc84920669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18</w:t>
            </w:r>
            <w:r w:rsidRPr="00573B6E">
              <w:rPr>
                <w:rFonts w:cstheme="minorHAnsi"/>
                <w:noProof/>
                <w:webHidden/>
              </w:rPr>
              <w:fldChar w:fldCharType="end"/>
            </w:r>
          </w:hyperlink>
        </w:p>
        <w:p w14:paraId="3525D3EE" w14:textId="77E08FA1" w:rsidR="00573B6E" w:rsidRPr="00573B6E" w:rsidRDefault="00573B6E">
          <w:pPr>
            <w:pStyle w:val="TDC1"/>
            <w:tabs>
              <w:tab w:val="right" w:leader="dot" w:pos="8828"/>
            </w:tabs>
            <w:rPr>
              <w:rFonts w:cstheme="minorHAnsi"/>
              <w:noProof/>
            </w:rPr>
          </w:pPr>
          <w:hyperlink w:anchor="_Toc84920670" w:history="1">
            <w:r w:rsidRPr="00573B6E">
              <w:rPr>
                <w:rStyle w:val="Hipervnculo"/>
                <w:rFonts w:cstheme="minorHAnsi"/>
                <w:noProof/>
              </w:rPr>
              <w:t>5.6 Inicio de profilaxis para VIH, ITS, VHB y de anticoncepción de emergencia.</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_Toc84920670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19</w:t>
            </w:r>
            <w:r w:rsidRPr="00573B6E">
              <w:rPr>
                <w:rFonts w:cstheme="minorHAnsi"/>
                <w:noProof/>
                <w:webHidden/>
              </w:rPr>
              <w:fldChar w:fldCharType="end"/>
            </w:r>
          </w:hyperlink>
        </w:p>
        <w:p w14:paraId="074030A0" w14:textId="14C5B95C" w:rsidR="00573B6E" w:rsidRPr="00573B6E" w:rsidRDefault="00573B6E">
          <w:pPr>
            <w:pStyle w:val="TDC2"/>
            <w:tabs>
              <w:tab w:val="right" w:leader="dot" w:pos="8828"/>
            </w:tabs>
            <w:rPr>
              <w:rFonts w:cstheme="minorHAnsi"/>
              <w:noProof/>
            </w:rPr>
          </w:pPr>
          <w:hyperlink w:anchor="_Toc84920671" w:history="1">
            <w:r w:rsidRPr="00573B6E">
              <w:rPr>
                <w:rStyle w:val="Hipervnculo"/>
                <w:rFonts w:cstheme="minorHAnsi"/>
                <w:noProof/>
              </w:rPr>
              <w:t>5.6.1 Componentes del kit de profilaxis post-exposición.</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_Toc84920671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19</w:t>
            </w:r>
            <w:r w:rsidRPr="00573B6E">
              <w:rPr>
                <w:rFonts w:cstheme="minorHAnsi"/>
                <w:noProof/>
                <w:webHidden/>
              </w:rPr>
              <w:fldChar w:fldCharType="end"/>
            </w:r>
          </w:hyperlink>
        </w:p>
        <w:p w14:paraId="44961176" w14:textId="3498F8BE" w:rsidR="00573B6E" w:rsidRPr="00573B6E" w:rsidRDefault="00573B6E">
          <w:pPr>
            <w:pStyle w:val="TDC2"/>
            <w:tabs>
              <w:tab w:val="right" w:leader="dot" w:pos="8828"/>
            </w:tabs>
            <w:rPr>
              <w:rFonts w:cstheme="minorHAnsi"/>
              <w:noProof/>
            </w:rPr>
          </w:pPr>
          <w:hyperlink w:anchor="_Toc84920672" w:history="1">
            <w:r w:rsidRPr="00573B6E">
              <w:rPr>
                <w:rStyle w:val="Hipervnculo"/>
                <w:rFonts w:cstheme="minorHAnsi"/>
                <w:noProof/>
              </w:rPr>
              <w:t>5.6.2 Solicitud de análisis de laboratorio al inicio de la atención de urgencia</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_Toc84920672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21</w:t>
            </w:r>
            <w:r w:rsidRPr="00573B6E">
              <w:rPr>
                <w:rFonts w:cstheme="minorHAnsi"/>
                <w:noProof/>
                <w:webHidden/>
              </w:rPr>
              <w:fldChar w:fldCharType="end"/>
            </w:r>
          </w:hyperlink>
        </w:p>
        <w:p w14:paraId="4C28C391" w14:textId="5BA9E1B5" w:rsidR="00573B6E" w:rsidRPr="00573B6E" w:rsidRDefault="00573B6E">
          <w:pPr>
            <w:pStyle w:val="TDC2"/>
            <w:tabs>
              <w:tab w:val="right" w:leader="dot" w:pos="8828"/>
            </w:tabs>
            <w:rPr>
              <w:rFonts w:cstheme="minorHAnsi"/>
              <w:noProof/>
            </w:rPr>
          </w:pPr>
          <w:hyperlink w:anchor="_Toc84920673" w:history="1">
            <w:r w:rsidRPr="00573B6E">
              <w:rPr>
                <w:rStyle w:val="Hipervnculo"/>
                <w:rFonts w:cstheme="minorHAnsi"/>
                <w:noProof/>
              </w:rPr>
              <w:t>5.6.3 Intervención farmacológica en profilaxis post-exposición del VIH, e ITS en personas con 13 años y más.</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_Toc84920673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21</w:t>
            </w:r>
            <w:r w:rsidRPr="00573B6E">
              <w:rPr>
                <w:rFonts w:cstheme="minorHAnsi"/>
                <w:noProof/>
                <w:webHidden/>
              </w:rPr>
              <w:fldChar w:fldCharType="end"/>
            </w:r>
          </w:hyperlink>
        </w:p>
        <w:p w14:paraId="52E37A80" w14:textId="2D70909D" w:rsidR="00573B6E" w:rsidRPr="00573B6E" w:rsidRDefault="00573B6E">
          <w:pPr>
            <w:pStyle w:val="TDC2"/>
            <w:tabs>
              <w:tab w:val="right" w:leader="dot" w:pos="8828"/>
            </w:tabs>
            <w:rPr>
              <w:rFonts w:cstheme="minorHAnsi"/>
              <w:noProof/>
            </w:rPr>
          </w:pPr>
          <w:hyperlink w:anchor="_Toc84920674" w:history="1">
            <w:r w:rsidRPr="00573B6E">
              <w:rPr>
                <w:rStyle w:val="Hipervnculo"/>
                <w:rFonts w:cstheme="minorHAnsi"/>
                <w:noProof/>
              </w:rPr>
              <w:t>5.6.4 Intervención farmacológica en profilaxis post-exposición del VIH e ITS en personas menores de 13 años.</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_Toc84920674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23</w:t>
            </w:r>
            <w:r w:rsidRPr="00573B6E">
              <w:rPr>
                <w:rFonts w:cstheme="minorHAnsi"/>
                <w:noProof/>
                <w:webHidden/>
              </w:rPr>
              <w:fldChar w:fldCharType="end"/>
            </w:r>
          </w:hyperlink>
        </w:p>
        <w:p w14:paraId="7BDF5EC2" w14:textId="10B04897" w:rsidR="00573B6E" w:rsidRPr="00573B6E" w:rsidRDefault="00573B6E">
          <w:pPr>
            <w:pStyle w:val="TDC2"/>
            <w:tabs>
              <w:tab w:val="right" w:leader="dot" w:pos="8828"/>
            </w:tabs>
            <w:rPr>
              <w:rFonts w:cstheme="minorHAnsi"/>
              <w:noProof/>
            </w:rPr>
          </w:pPr>
          <w:hyperlink w:anchor="_Toc84920675" w:history="1">
            <w:r w:rsidRPr="00573B6E">
              <w:rPr>
                <w:rStyle w:val="Hipervnculo"/>
                <w:rFonts w:cstheme="minorHAnsi"/>
                <w:noProof/>
              </w:rPr>
              <w:t>5.6.5 Profilaxis post exposición de la hepatitis B en personas gestantes y no gestantes.</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_Toc84920675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26</w:t>
            </w:r>
            <w:r w:rsidRPr="00573B6E">
              <w:rPr>
                <w:rFonts w:cstheme="minorHAnsi"/>
                <w:noProof/>
                <w:webHidden/>
              </w:rPr>
              <w:fldChar w:fldCharType="end"/>
            </w:r>
          </w:hyperlink>
        </w:p>
        <w:p w14:paraId="434325A6" w14:textId="2F9DFC08" w:rsidR="00573B6E" w:rsidRPr="00573B6E" w:rsidRDefault="00573B6E">
          <w:pPr>
            <w:pStyle w:val="TDC2"/>
            <w:tabs>
              <w:tab w:val="right" w:leader="dot" w:pos="8828"/>
            </w:tabs>
            <w:rPr>
              <w:rFonts w:cstheme="minorHAnsi"/>
              <w:noProof/>
            </w:rPr>
          </w:pPr>
          <w:hyperlink w:anchor="_Toc84920676" w:history="1">
            <w:r w:rsidRPr="00573B6E">
              <w:rPr>
                <w:rStyle w:val="Hipervnculo"/>
                <w:rFonts w:cstheme="minorHAnsi"/>
                <w:noProof/>
              </w:rPr>
              <w:t>5.6.6 Anticoncepción de emergencia.</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_Toc84920676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29</w:t>
            </w:r>
            <w:r w:rsidRPr="00573B6E">
              <w:rPr>
                <w:rFonts w:cstheme="minorHAnsi"/>
                <w:noProof/>
                <w:webHidden/>
              </w:rPr>
              <w:fldChar w:fldCharType="end"/>
            </w:r>
          </w:hyperlink>
        </w:p>
        <w:p w14:paraId="02081DD0" w14:textId="0D0C011E" w:rsidR="00573B6E" w:rsidRPr="00573B6E" w:rsidRDefault="00573B6E">
          <w:pPr>
            <w:pStyle w:val="TDC1"/>
            <w:tabs>
              <w:tab w:val="right" w:leader="dot" w:pos="8828"/>
            </w:tabs>
            <w:rPr>
              <w:rFonts w:cstheme="minorHAnsi"/>
              <w:noProof/>
            </w:rPr>
          </w:pPr>
          <w:hyperlink w:anchor="_Toc84920677" w:history="1">
            <w:r w:rsidRPr="00573B6E">
              <w:rPr>
                <w:rStyle w:val="Hipervnculo"/>
                <w:rFonts w:cstheme="minorHAnsi"/>
                <w:noProof/>
              </w:rPr>
              <w:t>6. PLAN DE SEGUIMIENTO</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_Toc84920677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30</w:t>
            </w:r>
            <w:r w:rsidRPr="00573B6E">
              <w:rPr>
                <w:rFonts w:cstheme="minorHAnsi"/>
                <w:noProof/>
                <w:webHidden/>
              </w:rPr>
              <w:fldChar w:fldCharType="end"/>
            </w:r>
          </w:hyperlink>
        </w:p>
        <w:p w14:paraId="0C6C5323" w14:textId="57C2299D" w:rsidR="00573B6E" w:rsidRDefault="00573B6E">
          <w:pPr>
            <w:pStyle w:val="TDC1"/>
            <w:tabs>
              <w:tab w:val="right" w:leader="dot" w:pos="8828"/>
            </w:tabs>
            <w:rPr>
              <w:noProof/>
            </w:rPr>
          </w:pPr>
          <w:hyperlink w:anchor="_Toc84920678" w:history="1">
            <w:r w:rsidRPr="00573B6E">
              <w:rPr>
                <w:rStyle w:val="Hipervnculo"/>
                <w:rFonts w:cstheme="minorHAnsi"/>
                <w:noProof/>
              </w:rPr>
              <w:t>7. BIBLIOGRAFÍA</w:t>
            </w:r>
            <w:r w:rsidRPr="00573B6E">
              <w:rPr>
                <w:rFonts w:cstheme="minorHAnsi"/>
                <w:noProof/>
                <w:webHidden/>
              </w:rPr>
              <w:tab/>
            </w:r>
            <w:r w:rsidRPr="00573B6E">
              <w:rPr>
                <w:rFonts w:cstheme="minorHAnsi"/>
                <w:noProof/>
                <w:webHidden/>
              </w:rPr>
              <w:fldChar w:fldCharType="begin"/>
            </w:r>
            <w:r w:rsidRPr="00573B6E">
              <w:rPr>
                <w:rFonts w:cstheme="minorHAnsi"/>
                <w:noProof/>
                <w:webHidden/>
              </w:rPr>
              <w:instrText xml:space="preserve"> PAGEREF _Toc84920678 \h </w:instrText>
            </w:r>
            <w:r w:rsidRPr="00573B6E">
              <w:rPr>
                <w:rFonts w:cstheme="minorHAnsi"/>
                <w:noProof/>
                <w:webHidden/>
              </w:rPr>
            </w:r>
            <w:r w:rsidRPr="00573B6E">
              <w:rPr>
                <w:rFonts w:cstheme="minorHAnsi"/>
                <w:noProof/>
                <w:webHidden/>
              </w:rPr>
              <w:fldChar w:fldCharType="separate"/>
            </w:r>
            <w:r w:rsidR="00655517">
              <w:rPr>
                <w:rFonts w:cstheme="minorHAnsi"/>
                <w:noProof/>
                <w:webHidden/>
              </w:rPr>
              <w:t>32</w:t>
            </w:r>
            <w:r w:rsidRPr="00573B6E">
              <w:rPr>
                <w:rFonts w:cstheme="minorHAnsi"/>
                <w:noProof/>
                <w:webHidden/>
              </w:rPr>
              <w:fldChar w:fldCharType="end"/>
            </w:r>
          </w:hyperlink>
        </w:p>
        <w:p w14:paraId="5B7B4517" w14:textId="1D81EDED" w:rsidR="00573B6E" w:rsidRDefault="00573B6E" w:rsidP="00FF0978">
          <w:r>
            <w:rPr>
              <w:b/>
              <w:bCs/>
              <w:lang w:val="es-ES"/>
            </w:rPr>
            <w:fldChar w:fldCharType="end"/>
          </w:r>
        </w:p>
      </w:sdtContent>
    </w:sdt>
    <w:p w14:paraId="17F45F70" w14:textId="77777777" w:rsidR="006E4D64" w:rsidRPr="006E4D64" w:rsidRDefault="006E4D64" w:rsidP="006E4D64">
      <w:r w:rsidRPr="006E4D64">
        <w:t>GLOSARIO DE ABREVIACIONES.</w:t>
      </w:r>
    </w:p>
    <w:p w14:paraId="14FDF80C" w14:textId="77777777" w:rsidR="006E4D64" w:rsidRPr="006E4D64" w:rsidRDefault="006E4D64" w:rsidP="006E4D64">
      <w:r w:rsidRPr="006E4D64">
        <w:t>• ARV Fármacos antirretrovirales</w:t>
      </w:r>
    </w:p>
    <w:p w14:paraId="6E21AC37" w14:textId="77777777" w:rsidR="006E4D64" w:rsidRPr="00C0484C" w:rsidRDefault="006E4D64" w:rsidP="006E4D64">
      <w:r w:rsidRPr="00C0484C">
        <w:t xml:space="preserve">• ATV/r </w:t>
      </w:r>
      <w:proofErr w:type="spellStart"/>
      <w:r w:rsidRPr="00C0484C">
        <w:t>Atazanavir</w:t>
      </w:r>
      <w:proofErr w:type="spellEnd"/>
      <w:r w:rsidRPr="00C0484C">
        <w:t>/ritonavir</w:t>
      </w:r>
    </w:p>
    <w:p w14:paraId="1CD89B3D" w14:textId="77777777" w:rsidR="006E4D64" w:rsidRPr="006E4D64" w:rsidRDefault="006E4D64" w:rsidP="006E4D64">
      <w:pPr>
        <w:rPr>
          <w:lang w:val="en-US"/>
        </w:rPr>
      </w:pPr>
      <w:r w:rsidRPr="006E4D64">
        <w:rPr>
          <w:lang w:val="en-US"/>
        </w:rPr>
        <w:t>• CDC Centers for Disease Control and Prevention</w:t>
      </w:r>
    </w:p>
    <w:p w14:paraId="3CC8444F" w14:textId="77777777" w:rsidR="006E4D64" w:rsidRPr="006E4D64" w:rsidRDefault="006E4D64" w:rsidP="006E4D64">
      <w:r w:rsidRPr="006E4D64">
        <w:t>• CVP Carga viral plasmática</w:t>
      </w:r>
    </w:p>
    <w:p w14:paraId="69F159AC" w14:textId="77777777" w:rsidR="006E4D64" w:rsidRPr="006E4D64" w:rsidRDefault="006E4D64" w:rsidP="006E4D64">
      <w:r w:rsidRPr="006E4D64">
        <w:t xml:space="preserve">• DRV/r </w:t>
      </w:r>
      <w:proofErr w:type="spellStart"/>
      <w:r w:rsidRPr="006E4D64">
        <w:t>Darunavir</w:t>
      </w:r>
      <w:proofErr w:type="spellEnd"/>
      <w:r w:rsidRPr="006E4D64">
        <w:t>/ritonavir</w:t>
      </w:r>
    </w:p>
    <w:p w14:paraId="6B0A068E" w14:textId="77777777" w:rsidR="006E4D64" w:rsidRPr="006E4D64" w:rsidRDefault="006E4D64" w:rsidP="006E4D64">
      <w:r w:rsidRPr="006E4D64">
        <w:t>• EAPB: Empresa Administradora de Planes de Beneficios</w:t>
      </w:r>
    </w:p>
    <w:p w14:paraId="7AAA6513" w14:textId="77777777" w:rsidR="006E4D64" w:rsidRPr="006E4D64" w:rsidRDefault="006E4D64" w:rsidP="006E4D64">
      <w:r w:rsidRPr="006E4D64">
        <w:t>• EFV Efavirenz</w:t>
      </w:r>
    </w:p>
    <w:p w14:paraId="75F494E4" w14:textId="77777777" w:rsidR="006E4D64" w:rsidRPr="006E4D64" w:rsidRDefault="006E4D64" w:rsidP="006E4D64">
      <w:r w:rsidRPr="006E4D64">
        <w:t>• ERNO Exposición de Riesgo no Ocupacional</w:t>
      </w:r>
    </w:p>
    <w:p w14:paraId="4300ECEF" w14:textId="77777777" w:rsidR="006E4D64" w:rsidRPr="006E4D64" w:rsidRDefault="006E4D64" w:rsidP="006E4D64">
      <w:r w:rsidRPr="006E4D64">
        <w:t>• ERO Exposición de Riesgo Ocupacional</w:t>
      </w:r>
    </w:p>
    <w:p w14:paraId="158E5B47" w14:textId="77777777" w:rsidR="006E4D64" w:rsidRPr="006E4D64" w:rsidRDefault="006E4D64" w:rsidP="006E4D64">
      <w:r w:rsidRPr="006E4D64">
        <w:t xml:space="preserve">• ETR </w:t>
      </w:r>
      <w:proofErr w:type="spellStart"/>
      <w:r w:rsidRPr="006E4D64">
        <w:t>Etravirina</w:t>
      </w:r>
      <w:proofErr w:type="spellEnd"/>
    </w:p>
    <w:p w14:paraId="11506D17" w14:textId="77777777" w:rsidR="006E4D64" w:rsidRPr="006E4D64" w:rsidRDefault="006E4D64" w:rsidP="006E4D64">
      <w:r w:rsidRPr="006E4D64">
        <w:t xml:space="preserve">• EVG/COBI </w:t>
      </w:r>
      <w:proofErr w:type="spellStart"/>
      <w:r w:rsidRPr="006E4D64">
        <w:t>Elvitegravir</w:t>
      </w:r>
      <w:proofErr w:type="spellEnd"/>
      <w:r w:rsidRPr="006E4D64">
        <w:t>/</w:t>
      </w:r>
      <w:proofErr w:type="spellStart"/>
      <w:r w:rsidRPr="006E4D64">
        <w:t>Cobicistat</w:t>
      </w:r>
      <w:proofErr w:type="spellEnd"/>
    </w:p>
    <w:p w14:paraId="5575CAF8" w14:textId="77777777" w:rsidR="006E4D64" w:rsidRPr="006E4D64" w:rsidRDefault="006E4D64" w:rsidP="006E4D64">
      <w:r w:rsidRPr="006E4D64">
        <w:t>• INI Inhibidor de la Integrasa</w:t>
      </w:r>
    </w:p>
    <w:p w14:paraId="22F86E1A" w14:textId="77777777" w:rsidR="006E4D64" w:rsidRPr="006E4D64" w:rsidRDefault="006E4D64" w:rsidP="006E4D64">
      <w:r w:rsidRPr="006E4D64">
        <w:t>• IP/r Inhibidor de la Proteasa potenciado con ritonavir</w:t>
      </w:r>
    </w:p>
    <w:p w14:paraId="2FA4A567" w14:textId="77777777" w:rsidR="006E4D64" w:rsidRPr="006E4D64" w:rsidRDefault="006E4D64" w:rsidP="006E4D64">
      <w:r w:rsidRPr="006E4D64">
        <w:t>• IPS: Institución Prestadora de Servicios de Salud</w:t>
      </w:r>
    </w:p>
    <w:p w14:paraId="5A6A1E9B" w14:textId="77777777" w:rsidR="006E4D64" w:rsidRPr="006E4D64" w:rsidRDefault="006E4D64" w:rsidP="006E4D64">
      <w:r w:rsidRPr="006E4D64">
        <w:t>• ITIAN Inhibidores de la Transcriptasa Inversa Análogos de Nucleósidos/Nucleótidos</w:t>
      </w:r>
    </w:p>
    <w:p w14:paraId="3425175F" w14:textId="77777777" w:rsidR="006E4D64" w:rsidRPr="006E4D64" w:rsidRDefault="006E4D64" w:rsidP="006E4D64">
      <w:r w:rsidRPr="006E4D64">
        <w:t>• ITINN Inhibidores de la Transcriptasa Inversa No Nucleósidos</w:t>
      </w:r>
    </w:p>
    <w:p w14:paraId="0DFE630B" w14:textId="77777777" w:rsidR="006E4D64" w:rsidRPr="006E4D64" w:rsidRDefault="006E4D64" w:rsidP="006E4D64">
      <w:r w:rsidRPr="006E4D64">
        <w:t>• ITS Infecciones de Transmisión Sexual</w:t>
      </w:r>
    </w:p>
    <w:p w14:paraId="732A5411" w14:textId="77777777" w:rsidR="006E4D64" w:rsidRPr="006E4D64" w:rsidRDefault="006E4D64" w:rsidP="006E4D64">
      <w:r w:rsidRPr="006E4D64">
        <w:t>• LPV/r Lopinavir/ritonavir</w:t>
      </w:r>
    </w:p>
    <w:p w14:paraId="39E7FD6C" w14:textId="77777777" w:rsidR="006E4D64" w:rsidRPr="006E4D64" w:rsidRDefault="006E4D64" w:rsidP="006E4D64">
      <w:r w:rsidRPr="006E4D64">
        <w:t>• NVP Nevirapina</w:t>
      </w:r>
    </w:p>
    <w:p w14:paraId="13F1EBC8" w14:textId="77777777" w:rsidR="006E4D64" w:rsidRPr="006E4D64" w:rsidRDefault="006E4D64" w:rsidP="006E4D64">
      <w:r w:rsidRPr="006E4D64">
        <w:t>• PID Persona que se Inyecta Drogas</w:t>
      </w:r>
    </w:p>
    <w:p w14:paraId="42EF1F70" w14:textId="77777777" w:rsidR="006E4D64" w:rsidRPr="006E4D64" w:rsidRDefault="006E4D64" w:rsidP="006E4D64">
      <w:r w:rsidRPr="006E4D64">
        <w:t>• PPE Profilaxis Post-Exposición</w:t>
      </w:r>
    </w:p>
    <w:p w14:paraId="6A95E5F9" w14:textId="77777777" w:rsidR="006E4D64" w:rsidRPr="006E4D64" w:rsidRDefault="006E4D64" w:rsidP="006E4D64">
      <w:r w:rsidRPr="006E4D64">
        <w:lastRenderedPageBreak/>
        <w:t>• PPEO Profilaxis Post-Exposición Ocupacional</w:t>
      </w:r>
    </w:p>
    <w:p w14:paraId="13A47CF1" w14:textId="77777777" w:rsidR="006E4D64" w:rsidRPr="006E4D64" w:rsidRDefault="006E4D64" w:rsidP="006E4D64">
      <w:r w:rsidRPr="006E4D64">
        <w:t xml:space="preserve">• PPENO Profilaxis </w:t>
      </w:r>
      <w:proofErr w:type="spellStart"/>
      <w:r w:rsidRPr="006E4D64">
        <w:t>post-exposición</w:t>
      </w:r>
      <w:proofErr w:type="spellEnd"/>
      <w:r w:rsidRPr="006E4D64">
        <w:t xml:space="preserve"> no ocupacional</w:t>
      </w:r>
    </w:p>
    <w:p w14:paraId="2859EA37" w14:textId="77777777" w:rsidR="006E4D64" w:rsidRPr="006E4D64" w:rsidRDefault="006E4D64" w:rsidP="006E4D64">
      <w:r w:rsidRPr="006E4D64">
        <w:t xml:space="preserve">• RAL </w:t>
      </w:r>
      <w:proofErr w:type="spellStart"/>
      <w:r w:rsidRPr="006E4D64">
        <w:t>Raltegravir</w:t>
      </w:r>
      <w:proofErr w:type="spellEnd"/>
    </w:p>
    <w:p w14:paraId="1C7B1075" w14:textId="77777777" w:rsidR="006E4D64" w:rsidRPr="006E4D64" w:rsidRDefault="006E4D64" w:rsidP="006E4D64">
      <w:r w:rsidRPr="006E4D64">
        <w:t xml:space="preserve">• RPV </w:t>
      </w:r>
      <w:proofErr w:type="spellStart"/>
      <w:r w:rsidRPr="006E4D64">
        <w:t>Rilpivirina</w:t>
      </w:r>
      <w:proofErr w:type="spellEnd"/>
    </w:p>
    <w:p w14:paraId="38330F21" w14:textId="77777777" w:rsidR="006E4D64" w:rsidRPr="006E4D64" w:rsidRDefault="006E4D64" w:rsidP="006E4D64">
      <w:r w:rsidRPr="006E4D64">
        <w:t>• TAR Tratamiento Antirretroviral</w:t>
      </w:r>
    </w:p>
    <w:p w14:paraId="19D8286D" w14:textId="77777777" w:rsidR="006E4D64" w:rsidRPr="006E4D64" w:rsidRDefault="006E4D64" w:rsidP="006E4D64">
      <w:r w:rsidRPr="006E4D64">
        <w:t xml:space="preserve">• TDF </w:t>
      </w:r>
      <w:proofErr w:type="spellStart"/>
      <w:r w:rsidRPr="006E4D64">
        <w:t>Tenofovir</w:t>
      </w:r>
      <w:proofErr w:type="spellEnd"/>
    </w:p>
    <w:p w14:paraId="1493A35C" w14:textId="77777777" w:rsidR="006E4D64" w:rsidRPr="006E4D64" w:rsidRDefault="006E4D64" w:rsidP="006E4D64">
      <w:r w:rsidRPr="006E4D64">
        <w:t xml:space="preserve">• TDF/FTC </w:t>
      </w:r>
      <w:proofErr w:type="spellStart"/>
      <w:r w:rsidRPr="006E4D64">
        <w:t>Tenofovir</w:t>
      </w:r>
      <w:proofErr w:type="spellEnd"/>
      <w:r w:rsidRPr="006E4D64">
        <w:t>/</w:t>
      </w:r>
      <w:proofErr w:type="spellStart"/>
      <w:r w:rsidRPr="006E4D64">
        <w:t>emtricitabina</w:t>
      </w:r>
      <w:proofErr w:type="spellEnd"/>
    </w:p>
    <w:p w14:paraId="7EEEB804" w14:textId="77777777" w:rsidR="006E4D64" w:rsidRPr="006E4D64" w:rsidRDefault="006E4D64" w:rsidP="006E4D64">
      <w:r w:rsidRPr="006E4D64">
        <w:t>• VIH Virus de la Inmunodeficiencia Humana</w:t>
      </w:r>
    </w:p>
    <w:p w14:paraId="2716691E" w14:textId="77777777" w:rsidR="006E4D64" w:rsidRPr="006E4D64" w:rsidRDefault="006E4D64" w:rsidP="006E4D64">
      <w:r w:rsidRPr="006E4D64">
        <w:t>• VHB Virus de la Hepatitis B</w:t>
      </w:r>
    </w:p>
    <w:p w14:paraId="21CB5A86" w14:textId="77777777" w:rsidR="006E4D64" w:rsidRPr="006E4D64" w:rsidRDefault="006E4D64" w:rsidP="006E4D64">
      <w:r w:rsidRPr="006E4D64">
        <w:t>• VHC Virus de la Hepatitis C</w:t>
      </w:r>
    </w:p>
    <w:p w14:paraId="4AC8A86D" w14:textId="115C8A1E" w:rsidR="006E4D64" w:rsidRPr="006E4D64" w:rsidRDefault="006E4D64" w:rsidP="006E4D64">
      <w:r w:rsidRPr="006E4D64">
        <w:t>• ZDV/3TC Zidovudina/</w:t>
      </w:r>
      <w:proofErr w:type="spellStart"/>
      <w:r w:rsidRPr="006E4D64">
        <w:t>lamivudina</w:t>
      </w:r>
      <w:proofErr w:type="spellEnd"/>
    </w:p>
    <w:p w14:paraId="7D20370A" w14:textId="57EC633B" w:rsidR="006E4D64" w:rsidRDefault="006E4D64" w:rsidP="00FF0978"/>
    <w:p w14:paraId="78CF536E" w14:textId="77777777" w:rsidR="006E4D64" w:rsidRPr="003E7721" w:rsidRDefault="006E4D64" w:rsidP="00AA2753">
      <w:pPr>
        <w:pStyle w:val="Ttulo1"/>
        <w:rPr>
          <w:b w:val="0"/>
        </w:rPr>
      </w:pPr>
      <w:bookmarkStart w:id="0" w:name="_Toc84920660"/>
      <w:r w:rsidRPr="003E7721">
        <w:t>1. INTRODUCCIÓN</w:t>
      </w:r>
      <w:r w:rsidRPr="007646E1">
        <w:rPr>
          <w:sz w:val="16"/>
          <w:szCs w:val="16"/>
        </w:rPr>
        <w:t>2</w:t>
      </w:r>
      <w:bookmarkEnd w:id="0"/>
    </w:p>
    <w:p w14:paraId="3239DF46" w14:textId="77777777" w:rsidR="00FB2FFA" w:rsidRPr="00DE11D8" w:rsidRDefault="006E4D64" w:rsidP="003E7721">
      <w:pPr>
        <w:jc w:val="both"/>
      </w:pPr>
      <w:r w:rsidRPr="00DE11D8">
        <w:t>La exposiciones de riesgo biológico ante el VIH, las ITS y el VHB, ocupacionales o no ocupacionales, son</w:t>
      </w:r>
      <w:r w:rsidR="00FB2FFA" w:rsidRPr="00DE11D8">
        <w:t xml:space="preserve"> </w:t>
      </w:r>
      <w:r w:rsidRPr="00DE11D8">
        <w:t>consideradas una urgencia médica, pues se dispone de 72 horas desde ocurrida la exposición, para instaurar</w:t>
      </w:r>
      <w:r w:rsidR="00FB2FFA" w:rsidRPr="00DE11D8">
        <w:t xml:space="preserve"> </w:t>
      </w:r>
      <w:r w:rsidRPr="00DE11D8">
        <w:t>un tratamiento profiláctico adecuado, dada la alta replicabilidad viral en el caso del VIH, del VHB y del VHC.</w:t>
      </w:r>
      <w:r w:rsidR="00FB2FFA" w:rsidRPr="00DE11D8">
        <w:t xml:space="preserve"> </w:t>
      </w:r>
      <w:r w:rsidRPr="00DE11D8">
        <w:t xml:space="preserve">Las exposiciones de riesgo </w:t>
      </w:r>
      <w:r w:rsidR="0088451B" w:rsidRPr="00DE11D8">
        <w:t>biológico</w:t>
      </w:r>
      <w:r w:rsidRPr="00DE11D8">
        <w:t xml:space="preserve"> pueden ser ocupacionales o no ocupacionales.</w:t>
      </w:r>
      <w:r w:rsidR="00FB2FFA" w:rsidRPr="00DE11D8">
        <w:t xml:space="preserve"> </w:t>
      </w:r>
    </w:p>
    <w:p w14:paraId="6B9FC692" w14:textId="556DB2FB" w:rsidR="006E4D64" w:rsidRPr="00DE11D8" w:rsidRDefault="006E4D64" w:rsidP="003E7721">
      <w:pPr>
        <w:jc w:val="both"/>
      </w:pPr>
      <w:r w:rsidRPr="00DE11D8">
        <w:t>El riesgo de transmisión de VIH, VHC y VHB en una exposición ocupacional existe, y es diferente según sea</w:t>
      </w:r>
      <w:r w:rsidR="00FB2FFA" w:rsidRPr="00DE11D8">
        <w:t xml:space="preserve"> </w:t>
      </w:r>
      <w:r w:rsidRPr="00DE11D8">
        <w:t>el fluido al que se exponga la persona y el mecanismo de contacto. Para el VIH, estudios prospectivos</w:t>
      </w:r>
      <w:r w:rsidR="00FB2FFA" w:rsidRPr="00DE11D8">
        <w:t xml:space="preserve"> </w:t>
      </w:r>
      <w:r w:rsidRPr="00DE11D8">
        <w:t>realizados en trabajadores sanitarios han estimado el riesgo medio de transmisión después de una exposición</w:t>
      </w:r>
      <w:r w:rsidR="00FB2FFA" w:rsidRPr="00DE11D8">
        <w:t xml:space="preserve"> </w:t>
      </w:r>
      <w:r w:rsidRPr="00DE11D8">
        <w:t>percutánea a sangre en un 0,3% (IC 95%: 0,2%- 0,5%)1. El riesgo de transmisión después de una exposición</w:t>
      </w:r>
      <w:r w:rsidR="00FB2FFA" w:rsidRPr="00DE11D8">
        <w:t xml:space="preserve"> </w:t>
      </w:r>
      <w:r w:rsidRPr="00DE11D8">
        <w:t>a otros fluidos o tejidos no se ha cuantificado, pero es probable que sea considerablemente inferior al del</w:t>
      </w:r>
      <w:r w:rsidR="00FB2FFA" w:rsidRPr="00DE11D8">
        <w:t xml:space="preserve"> </w:t>
      </w:r>
      <w:r w:rsidRPr="00DE11D8">
        <w:t>contacto con sangre.</w:t>
      </w:r>
    </w:p>
    <w:p w14:paraId="74E2C6C0" w14:textId="77777777" w:rsidR="00FB2FFA" w:rsidRPr="00DE11D8" w:rsidRDefault="006E4D64" w:rsidP="003E7721">
      <w:pPr>
        <w:jc w:val="both"/>
      </w:pPr>
      <w:r w:rsidRPr="00DE11D8">
        <w:t>La incidencia media de seroconversión después de una exposición percutánea con una fuente positiva al VHC</w:t>
      </w:r>
      <w:r w:rsidR="00FB2FFA" w:rsidRPr="00DE11D8">
        <w:t xml:space="preserve"> </w:t>
      </w:r>
      <w:r w:rsidRPr="00DE11D8">
        <w:t>es del 1,8% (rango: 0%-7%).</w:t>
      </w:r>
      <w:r w:rsidR="00FB2FFA" w:rsidRPr="00DE11D8">
        <w:t xml:space="preserve"> </w:t>
      </w:r>
    </w:p>
    <w:p w14:paraId="721085D9" w14:textId="304F330B" w:rsidR="006E4D64" w:rsidRPr="00DE11D8" w:rsidRDefault="006E4D64" w:rsidP="003E7721">
      <w:pPr>
        <w:jc w:val="both"/>
      </w:pPr>
      <w:r w:rsidRPr="00DE11D8">
        <w:t>La infección accidental por el VHB constituye un riesgo ocupacional bien establecido para el talento humano</w:t>
      </w:r>
      <w:r w:rsidR="00FB2FFA" w:rsidRPr="00DE11D8">
        <w:t xml:space="preserve"> </w:t>
      </w:r>
      <w:r w:rsidRPr="00DE11D8">
        <w:t>de salud, si no están vacunados frente a este virus. El riesgo de adquirir una infección por VHB, ante un</w:t>
      </w:r>
      <w:r w:rsidR="00FB2FFA" w:rsidRPr="00DE11D8">
        <w:t xml:space="preserve"> </w:t>
      </w:r>
      <w:r w:rsidRPr="00DE11D8">
        <w:t>accidente percutáneo en personal no vacunado, depende de los marcadores de la persona de la que procede</w:t>
      </w:r>
      <w:r w:rsidR="00FB2FFA" w:rsidRPr="00DE11D8">
        <w:t xml:space="preserve"> </w:t>
      </w:r>
      <w:r w:rsidRPr="00DE11D8">
        <w:t>la sangre o fluido corporal. En estudios realizados en trabajadores sanitarios con exposición percutánea a</w:t>
      </w:r>
      <w:r w:rsidR="00FB2FFA" w:rsidRPr="00DE11D8">
        <w:t xml:space="preserve"> </w:t>
      </w:r>
      <w:r w:rsidRPr="00DE11D8">
        <w:t xml:space="preserve">sangre contaminada por el VHB, el riesgo de transmisión es </w:t>
      </w:r>
      <w:r w:rsidRPr="00DE11D8">
        <w:lastRenderedPageBreak/>
        <w:t xml:space="preserve">al menos del 30% si el paciente fuente es Ag </w:t>
      </w:r>
      <w:proofErr w:type="spellStart"/>
      <w:r w:rsidRPr="00DE11D8">
        <w:t>HBs</w:t>
      </w:r>
      <w:proofErr w:type="spellEnd"/>
      <w:r w:rsidR="00FB2FFA" w:rsidRPr="00DE11D8">
        <w:t xml:space="preserve"> </w:t>
      </w:r>
      <w:r w:rsidRPr="00DE11D8">
        <w:t xml:space="preserve">positivo con Ag </w:t>
      </w:r>
      <w:proofErr w:type="spellStart"/>
      <w:r w:rsidRPr="00DE11D8">
        <w:t>HBe</w:t>
      </w:r>
      <w:proofErr w:type="spellEnd"/>
      <w:r w:rsidRPr="00DE11D8">
        <w:t xml:space="preserve"> positivo y menor del 6% si el Ag </w:t>
      </w:r>
      <w:proofErr w:type="spellStart"/>
      <w:r w:rsidRPr="00DE11D8">
        <w:t>HBe</w:t>
      </w:r>
      <w:proofErr w:type="spellEnd"/>
      <w:r w:rsidRPr="00DE11D8">
        <w:t xml:space="preserve"> es negativo.</w:t>
      </w:r>
    </w:p>
    <w:p w14:paraId="4129CCCB" w14:textId="603DB8A3" w:rsidR="006E4D64" w:rsidRPr="00DE11D8" w:rsidRDefault="006E4D64" w:rsidP="003E7721">
      <w:pPr>
        <w:jc w:val="both"/>
      </w:pPr>
      <w:r w:rsidRPr="00DE11D8">
        <w:t>En cuanto a las exposiciones no ocupacionales, el riesgo y fundamentos de la transmisión percutánea no</w:t>
      </w:r>
      <w:r w:rsidR="00FB2FFA" w:rsidRPr="00DE11D8">
        <w:t xml:space="preserve"> </w:t>
      </w:r>
      <w:r w:rsidRPr="00DE11D8">
        <w:t>ocupacional son similares a los de la transmisión ocupacional, excepto por la frecuente dificultad para</w:t>
      </w:r>
      <w:r w:rsidR="00FB2FFA" w:rsidRPr="00DE11D8">
        <w:t xml:space="preserve"> </w:t>
      </w:r>
      <w:r w:rsidRPr="00DE11D8">
        <w:t>identificar la fuente de exposición que caracteriza a la exposición no ocupacional (ENO).</w:t>
      </w:r>
    </w:p>
    <w:p w14:paraId="461F8EEC" w14:textId="46C7D1FB" w:rsidR="006E4D64" w:rsidRPr="00DE11D8" w:rsidRDefault="006E4D64" w:rsidP="003E7721">
      <w:pPr>
        <w:jc w:val="both"/>
      </w:pPr>
      <w:r w:rsidRPr="00DE11D8">
        <w:t>Recientemente un meta-análisis de estudios que evaluaban el uso de la PEP en modelos animales, demostró</w:t>
      </w:r>
      <w:r w:rsidR="00FB2FFA" w:rsidRPr="00DE11D8">
        <w:t xml:space="preserve"> </w:t>
      </w:r>
      <w:r w:rsidRPr="00DE11D8">
        <w:t>un 89% de reducción del riesgo de infección por el VIH en animales que recibieron PEP. La pérdida de la</w:t>
      </w:r>
      <w:r w:rsidR="00FB2FFA" w:rsidRPr="00DE11D8">
        <w:t xml:space="preserve"> </w:t>
      </w:r>
      <w:r w:rsidRPr="00DE11D8">
        <w:t xml:space="preserve">efectividad de la PEP en exposiciones </w:t>
      </w:r>
      <w:r w:rsidR="005B2C92" w:rsidRPr="00DE11D8">
        <w:t>sexuales</w:t>
      </w:r>
      <w:r w:rsidRPr="00DE11D8">
        <w:t xml:space="preserve"> puede estar asociada al inicio tardío, a la no adhesión o a la</w:t>
      </w:r>
      <w:r w:rsidR="00FB2FFA" w:rsidRPr="00DE11D8">
        <w:t xml:space="preserve"> </w:t>
      </w:r>
      <w:r w:rsidRPr="00DE11D8">
        <w:t>posible transmisión de virus resistentes.3</w:t>
      </w:r>
    </w:p>
    <w:p w14:paraId="22A7BE27" w14:textId="307C0AD7" w:rsidR="006E4D64" w:rsidRPr="00DE11D8" w:rsidRDefault="006E4D64" w:rsidP="003E7721">
      <w:pPr>
        <w:jc w:val="both"/>
      </w:pPr>
      <w:r w:rsidRPr="00DE11D8">
        <w:t>La exposición por vía sexual es más frecuente, sobre todo por relaciones sexuales consentidas. Solo se</w:t>
      </w:r>
      <w:r w:rsidR="00FB2FFA" w:rsidRPr="00DE11D8">
        <w:t xml:space="preserve"> </w:t>
      </w:r>
      <w:r w:rsidRPr="00DE11D8">
        <w:t>considera que la exposición sexual tiene algún tipo de riesgo en caso de que se haya practicado sin</w:t>
      </w:r>
      <w:r w:rsidR="005B2C92" w:rsidRPr="00DE11D8">
        <w:t xml:space="preserve"> </w:t>
      </w:r>
      <w:r w:rsidRPr="00DE11D8">
        <w:t>preservativo o con ruptura o mal uso de este. La transmisión del VIH puede realizarse únicamente por</w:t>
      </w:r>
      <w:r w:rsidR="005B2C92" w:rsidRPr="00DE11D8">
        <w:t xml:space="preserve"> </w:t>
      </w:r>
      <w:r w:rsidRPr="00DE11D8">
        <w:t>exposición a fluidos potencialmente infectantes. El mayor riesgo de transmisión es por sangre o fluidos que</w:t>
      </w:r>
      <w:r w:rsidR="005B2C92" w:rsidRPr="00DE11D8">
        <w:t xml:space="preserve"> </w:t>
      </w:r>
      <w:r w:rsidRPr="00DE11D8">
        <w:t>contengan sangre visible. También se consideran potencialmente infectantes el semen, las secreciones</w:t>
      </w:r>
      <w:r w:rsidR="005B2C92" w:rsidRPr="00DE11D8">
        <w:t xml:space="preserve"> </w:t>
      </w:r>
      <w:r w:rsidRPr="00DE11D8">
        <w:t>vaginales, los líquidos cefalorraquídeos, pleural, pericárdico, peritoneal, amniótico, y la leche</w:t>
      </w:r>
      <w:r w:rsidR="0088451B" w:rsidRPr="00DE11D8">
        <w:t xml:space="preserve"> </w:t>
      </w:r>
      <w:r w:rsidRPr="00DE11D8">
        <w:t>humana. No se consideran infectantes la orina, heces, saliva, vómito, secreciones nasales, lágrimas,</w:t>
      </w:r>
      <w:r w:rsidR="0088451B" w:rsidRPr="00DE11D8">
        <w:t xml:space="preserve"> </w:t>
      </w:r>
      <w:r w:rsidRPr="00DE11D8">
        <w:t>sudor ni esputo, si no contienen sangre visible.</w:t>
      </w:r>
    </w:p>
    <w:p w14:paraId="2AC3721E" w14:textId="77777777" w:rsidR="005B2C92" w:rsidRPr="00DE11D8" w:rsidRDefault="0088451B" w:rsidP="003E7721">
      <w:pPr>
        <w:jc w:val="both"/>
      </w:pPr>
      <w:r w:rsidRPr="00DE11D8">
        <w:t xml:space="preserve">2 Documento de Consenso sobre Profilaxis </w:t>
      </w:r>
      <w:proofErr w:type="spellStart"/>
      <w:r w:rsidRPr="00DE11D8">
        <w:t>pos-exposición</w:t>
      </w:r>
      <w:proofErr w:type="spellEnd"/>
      <w:r w:rsidRPr="00DE11D8">
        <w:t xml:space="preserve"> ocupacional y no ocupacional en relación con el VIH, VHB y VHC en adultos y niños.</w:t>
      </w:r>
      <w:r w:rsidR="005B2C92" w:rsidRPr="00DE11D8">
        <w:t xml:space="preserve"> </w:t>
      </w:r>
    </w:p>
    <w:p w14:paraId="5AE16208" w14:textId="3F4A91AD" w:rsidR="0088451B" w:rsidRPr="00DE11D8" w:rsidRDefault="0088451B" w:rsidP="003E7721">
      <w:pPr>
        <w:jc w:val="both"/>
      </w:pPr>
      <w:r w:rsidRPr="00DE11D8">
        <w:t>GESIDA, Marzo de 2015.</w:t>
      </w:r>
    </w:p>
    <w:p w14:paraId="13B158D5" w14:textId="06AF8F06" w:rsidR="0088451B" w:rsidRPr="00DE11D8" w:rsidRDefault="0088451B" w:rsidP="003E7721">
      <w:pPr>
        <w:jc w:val="both"/>
      </w:pPr>
      <w:r w:rsidRPr="00DE11D8">
        <w:t xml:space="preserve">3 O </w:t>
      </w:r>
      <w:proofErr w:type="spellStart"/>
      <w:r w:rsidRPr="00DE11D8">
        <w:t>efeito</w:t>
      </w:r>
      <w:proofErr w:type="spellEnd"/>
      <w:r w:rsidRPr="00DE11D8">
        <w:t xml:space="preserve"> dos métodos preventivos </w:t>
      </w:r>
      <w:proofErr w:type="spellStart"/>
      <w:r w:rsidRPr="00DE11D8">
        <w:t>na</w:t>
      </w:r>
      <w:proofErr w:type="spellEnd"/>
      <w:r w:rsidRPr="00DE11D8">
        <w:t xml:space="preserve"> </w:t>
      </w:r>
      <w:proofErr w:type="spellStart"/>
      <w:r w:rsidRPr="00DE11D8">
        <w:t>redução</w:t>
      </w:r>
      <w:proofErr w:type="spellEnd"/>
      <w:r w:rsidRPr="00DE11D8">
        <w:t xml:space="preserve"> do risco de </w:t>
      </w:r>
      <w:proofErr w:type="spellStart"/>
      <w:r w:rsidRPr="00DE11D8">
        <w:t>infecção</w:t>
      </w:r>
      <w:proofErr w:type="spellEnd"/>
      <w:r w:rsidRPr="00DE11D8">
        <w:t xml:space="preserve"> pelo HIV </w:t>
      </w:r>
      <w:proofErr w:type="spellStart"/>
      <w:r w:rsidRPr="00DE11D8">
        <w:t>nas</w:t>
      </w:r>
      <w:proofErr w:type="spellEnd"/>
      <w:r w:rsidRPr="00DE11D8">
        <w:t xml:space="preserve"> </w:t>
      </w:r>
      <w:proofErr w:type="spellStart"/>
      <w:r w:rsidRPr="00DE11D8">
        <w:t>relações</w:t>
      </w:r>
      <w:proofErr w:type="spellEnd"/>
      <w:r w:rsidRPr="00DE11D8">
        <w:t xml:space="preserve"> </w:t>
      </w:r>
      <w:proofErr w:type="spellStart"/>
      <w:r w:rsidRPr="00DE11D8">
        <w:t>sexuais</w:t>
      </w:r>
      <w:proofErr w:type="spellEnd"/>
      <w:r w:rsidRPr="00DE11D8">
        <w:t xml:space="preserve"> e</w:t>
      </w:r>
      <w:r w:rsidR="00C2386C">
        <w:t xml:space="preserve"> </w:t>
      </w:r>
      <w:proofErr w:type="spellStart"/>
      <w:r w:rsidRPr="00DE11D8">
        <w:t>seu</w:t>
      </w:r>
      <w:proofErr w:type="spellEnd"/>
      <w:r w:rsidRPr="00DE11D8">
        <w:t xml:space="preserve"> potencial impacto</w:t>
      </w:r>
      <w:r w:rsidR="005B2C92" w:rsidRPr="00DE11D8">
        <w:t xml:space="preserve"> </w:t>
      </w:r>
      <w:r w:rsidRPr="00DE11D8">
        <w:t xml:space="preserve">em </w:t>
      </w:r>
      <w:r w:rsidR="005B2C92" w:rsidRPr="00DE11D8">
        <w:t xml:space="preserve">ámbito </w:t>
      </w:r>
      <w:proofErr w:type="spellStart"/>
      <w:r w:rsidRPr="00DE11D8">
        <w:t>populacional</w:t>
      </w:r>
      <w:proofErr w:type="spellEnd"/>
      <w:r w:rsidRPr="00DE11D8">
        <w:t xml:space="preserve">: </w:t>
      </w:r>
      <w:proofErr w:type="spellStart"/>
      <w:r w:rsidRPr="00DE11D8">
        <w:t>uma</w:t>
      </w:r>
      <w:proofErr w:type="spellEnd"/>
      <w:r w:rsidRPr="00DE11D8">
        <w:t xml:space="preserve"> </w:t>
      </w:r>
      <w:proofErr w:type="spellStart"/>
      <w:r w:rsidRPr="00DE11D8">
        <w:t>revisão</w:t>
      </w:r>
      <w:proofErr w:type="spellEnd"/>
      <w:r w:rsidRPr="00DE11D8">
        <w:t xml:space="preserve"> da literatura. Alexandre </w:t>
      </w:r>
      <w:proofErr w:type="spellStart"/>
      <w:r w:rsidRPr="00DE11D8">
        <w:t>GrangeiroI,III</w:t>
      </w:r>
      <w:proofErr w:type="spellEnd"/>
      <w:r w:rsidRPr="00DE11D8">
        <w:t>,</w:t>
      </w:r>
      <w:r w:rsidR="00C2386C">
        <w:t xml:space="preserve"> </w:t>
      </w:r>
      <w:r w:rsidRPr="00DE11D8">
        <w:t xml:space="preserve">Dulce </w:t>
      </w:r>
      <w:proofErr w:type="spellStart"/>
      <w:r w:rsidRPr="00DE11D8">
        <w:t>FerrazI,II,III</w:t>
      </w:r>
      <w:proofErr w:type="spellEnd"/>
      <w:r w:rsidRPr="00DE11D8">
        <w:t xml:space="preserve">, Gabriela </w:t>
      </w:r>
      <w:proofErr w:type="spellStart"/>
      <w:r w:rsidRPr="00DE11D8">
        <w:t>CalazansI,III,IV,V</w:t>
      </w:r>
      <w:proofErr w:type="spellEnd"/>
      <w:r w:rsidRPr="00DE11D8">
        <w:t>,</w:t>
      </w:r>
      <w:r w:rsidR="005B2C92" w:rsidRPr="00DE11D8">
        <w:t xml:space="preserve"> </w:t>
      </w:r>
      <w:r w:rsidRPr="00DE11D8">
        <w:t>Eliana Miura</w:t>
      </w:r>
      <w:r w:rsidR="005B2C92" w:rsidRPr="00DE11D8">
        <w:t xml:space="preserve"> </w:t>
      </w:r>
      <w:proofErr w:type="spellStart"/>
      <w:r w:rsidRPr="00DE11D8">
        <w:t>ZucchiIII,VI</w:t>
      </w:r>
      <w:proofErr w:type="spellEnd"/>
      <w:r w:rsidRPr="00DE11D8">
        <w:t>, Ximena Pamela Díaz</w:t>
      </w:r>
      <w:r w:rsidR="00C2386C">
        <w:t xml:space="preserve"> </w:t>
      </w:r>
      <w:proofErr w:type="spellStart"/>
      <w:r w:rsidRPr="00DE11D8">
        <w:t>BermúdezVII</w:t>
      </w:r>
      <w:proofErr w:type="spellEnd"/>
    </w:p>
    <w:p w14:paraId="385D599D" w14:textId="38340602" w:rsidR="0088451B" w:rsidRPr="00DE11D8" w:rsidRDefault="0088451B" w:rsidP="0088451B"/>
    <w:p w14:paraId="6FA0FFC9" w14:textId="5B1857C7" w:rsidR="0088451B" w:rsidRPr="00DE11D8" w:rsidRDefault="0088451B" w:rsidP="0088451B">
      <w:r w:rsidRPr="00DE11D8">
        <w:t>En el caso de relaciones sexuales no consentidas o si se produce sangrado o en presencia de menstruación,</w:t>
      </w:r>
      <w:r w:rsidR="005B2C92" w:rsidRPr="00DE11D8">
        <w:t xml:space="preserve"> </w:t>
      </w:r>
      <w:r w:rsidRPr="00DE11D8">
        <w:t>el riesgo se incrementa considerablemente.</w:t>
      </w:r>
    </w:p>
    <w:p w14:paraId="7F463720" w14:textId="2762EF55" w:rsidR="0088451B" w:rsidRPr="00DE11D8" w:rsidRDefault="0088451B" w:rsidP="0088451B">
      <w:r w:rsidRPr="00DE11D8">
        <w:t xml:space="preserve">A diferencia de la EO, en las relaciones sexuales se producen macro o </w:t>
      </w:r>
      <w:proofErr w:type="spellStart"/>
      <w:r w:rsidRPr="00DE11D8">
        <w:t>micro-abrasiones</w:t>
      </w:r>
      <w:proofErr w:type="spellEnd"/>
      <w:r w:rsidRPr="00DE11D8">
        <w:t xml:space="preserve"> de las mucosas. En</w:t>
      </w:r>
      <w:r w:rsidR="005B2C92" w:rsidRPr="00DE11D8">
        <w:t xml:space="preserve"> </w:t>
      </w:r>
      <w:r w:rsidRPr="00DE11D8">
        <w:t>este sentido el tipo de epitelio de la mucosa del recto (columnar simple y más delgado que el de la vagina o</w:t>
      </w:r>
      <w:r w:rsidR="005B2C92" w:rsidRPr="00DE11D8">
        <w:t xml:space="preserve"> </w:t>
      </w:r>
      <w:r w:rsidRPr="00DE11D8">
        <w:t>mucosa oral) lo hace especialmente susceptible a la disrupción mecánica durante la relación sexual1. Esto</w:t>
      </w:r>
      <w:r w:rsidR="005B2C92" w:rsidRPr="00DE11D8">
        <w:t xml:space="preserve"> </w:t>
      </w:r>
      <w:r w:rsidRPr="00DE11D8">
        <w:t>explica que las relaciones sexuales anales receptivas sean la forma más efectiva de transmisión sexual del</w:t>
      </w:r>
      <w:r w:rsidR="005B2C92" w:rsidRPr="00DE11D8">
        <w:t xml:space="preserve"> </w:t>
      </w:r>
      <w:r w:rsidRPr="00DE11D8">
        <w:t>VIH. Las abrasiones de mucosas también son más frecuentes en los varones no circuncidados y ello justifica,</w:t>
      </w:r>
      <w:r w:rsidR="005B2C92" w:rsidRPr="00DE11D8">
        <w:t xml:space="preserve"> </w:t>
      </w:r>
      <w:r w:rsidRPr="00DE11D8">
        <w:t>al menos en las relaciones heterosexuales, el menor riesgo de infección de los varones circuncidados. De</w:t>
      </w:r>
      <w:r w:rsidR="005B2C92" w:rsidRPr="00DE11D8">
        <w:t xml:space="preserve"> </w:t>
      </w:r>
      <w:r w:rsidRPr="00DE11D8">
        <w:t xml:space="preserve">igual modo, es </w:t>
      </w:r>
      <w:r w:rsidRPr="00DE11D8">
        <w:lastRenderedPageBreak/>
        <w:t>fácilmente comprensible que la presencia de otras infecciones de transmisión sexual (ITS), en</w:t>
      </w:r>
      <w:r w:rsidR="005B2C92" w:rsidRPr="00DE11D8">
        <w:t xml:space="preserve"> </w:t>
      </w:r>
      <w:r w:rsidRPr="00DE11D8">
        <w:t>especial las que cursan con ulceraciones, favorezcan la transmisión del VIH.</w:t>
      </w:r>
    </w:p>
    <w:p w14:paraId="4C0CAF43" w14:textId="5EF76FDA" w:rsidR="0088451B" w:rsidRPr="00DE11D8" w:rsidRDefault="0088451B" w:rsidP="0088451B">
      <w:r w:rsidRPr="00DE11D8">
        <w:t xml:space="preserve">En general, la evidencia que sustenta la profilaxis </w:t>
      </w:r>
      <w:proofErr w:type="spellStart"/>
      <w:r w:rsidRPr="00DE11D8">
        <w:t>post-exposición</w:t>
      </w:r>
      <w:proofErr w:type="spellEnd"/>
      <w:r w:rsidRPr="00DE11D8">
        <w:t xml:space="preserve"> no ocupacional (PPENO) es escasa y se</w:t>
      </w:r>
      <w:r w:rsidR="005B2C92" w:rsidRPr="00DE11D8">
        <w:t xml:space="preserve"> </w:t>
      </w:r>
      <w:r w:rsidRPr="00DE11D8">
        <w:t>limita a tres aspectos. En primer lugar, a un modelo animal de transmisión sexual de VIH en macacos en el</w:t>
      </w:r>
      <w:r w:rsidR="005B2C92" w:rsidRPr="00DE11D8">
        <w:t xml:space="preserve"> </w:t>
      </w:r>
      <w:r w:rsidRPr="00DE11D8">
        <w:t xml:space="preserve">que el empleo pro láctico de </w:t>
      </w:r>
      <w:proofErr w:type="spellStart"/>
      <w:r w:rsidRPr="00DE11D8">
        <w:t>tenofovir</w:t>
      </w:r>
      <w:proofErr w:type="spellEnd"/>
      <w:r w:rsidRPr="00DE11D8">
        <w:t xml:space="preserve"> en las primeras 24-36 horas de exposición vaginal previno la infección</w:t>
      </w:r>
      <w:r w:rsidR="005B2C92" w:rsidRPr="00DE11D8">
        <w:t xml:space="preserve"> </w:t>
      </w:r>
      <w:r w:rsidRPr="00DE11D8">
        <w:t>por VIH. En segundo lugar, la administración de zidovudina a los neonatos previene la infección incluso en</w:t>
      </w:r>
      <w:r w:rsidR="005B2C92" w:rsidRPr="00DE11D8">
        <w:t xml:space="preserve"> </w:t>
      </w:r>
      <w:r w:rsidRPr="00DE11D8">
        <w:t>aquellos casos en los que la madre no ha recibido TAR ni durante la gestación ni durante el parto.</w:t>
      </w:r>
      <w:r w:rsidR="005B2C92" w:rsidRPr="00DE11D8">
        <w:t xml:space="preserve"> </w:t>
      </w:r>
      <w:r w:rsidRPr="00DE11D8">
        <w:t>Finalmente,</w:t>
      </w:r>
      <w:r w:rsidR="005B2C92" w:rsidRPr="00DE11D8">
        <w:t xml:space="preserve"> </w:t>
      </w:r>
      <w:r w:rsidRPr="00DE11D8">
        <w:t>de los datos disponibles en estudios observacionales en los que la administración de profilaxis tras la</w:t>
      </w:r>
      <w:r w:rsidR="005B2C92" w:rsidRPr="00DE11D8">
        <w:t xml:space="preserve"> </w:t>
      </w:r>
      <w:r w:rsidRPr="00DE11D8">
        <w:t>exposición sexual o percutánea demostró algún beneficio y que son las que sustentaron las primeras</w:t>
      </w:r>
      <w:r w:rsidR="005B2C92" w:rsidRPr="00DE11D8">
        <w:t xml:space="preserve"> </w:t>
      </w:r>
      <w:r w:rsidRPr="00DE11D8">
        <w:t>recomendaciones de PPENO. Por último, se dispone de datos observacionales tras la implantación de dichas</w:t>
      </w:r>
      <w:r w:rsidR="005B2C92" w:rsidRPr="00DE11D8">
        <w:t xml:space="preserve"> </w:t>
      </w:r>
      <w:r w:rsidRPr="00DE11D8">
        <w:t xml:space="preserve">recomendaciones que también apoyan la utilización de la profilaxis </w:t>
      </w:r>
      <w:proofErr w:type="spellStart"/>
      <w:r w:rsidRPr="00DE11D8">
        <w:t>post-exposición</w:t>
      </w:r>
      <w:proofErr w:type="spellEnd"/>
      <w:r w:rsidRPr="00DE11D8">
        <w:t>.</w:t>
      </w:r>
    </w:p>
    <w:p w14:paraId="7EC935D5" w14:textId="4EB07359" w:rsidR="0088451B" w:rsidRPr="00DE11D8" w:rsidRDefault="0088451B" w:rsidP="0088451B">
      <w:r w:rsidRPr="00DE11D8">
        <w:t>En general, la PPE se aconseja en personas con una exposición de riesgo al VIH, las ITS o al VHB,</w:t>
      </w:r>
      <w:r w:rsidR="005B2C92" w:rsidRPr="00DE11D8">
        <w:t xml:space="preserve"> </w:t>
      </w:r>
      <w:r w:rsidRPr="00DE11D8">
        <w:t>esporádica y excepcional.</w:t>
      </w:r>
    </w:p>
    <w:p w14:paraId="7829B589" w14:textId="47D70C68" w:rsidR="0088451B" w:rsidRPr="00DE11D8" w:rsidRDefault="0088451B" w:rsidP="0088451B">
      <w:r w:rsidRPr="00DE11D8">
        <w:t>El presente documento pretende otorgar a los equipos de salud de cualquier servicio que deba atender este</w:t>
      </w:r>
      <w:r w:rsidR="005B2C92" w:rsidRPr="00DE11D8">
        <w:t xml:space="preserve"> </w:t>
      </w:r>
      <w:r w:rsidRPr="00DE11D8">
        <w:t>tipo de urgencias médicas, las pautas basadas en la evidencia para la evaluación del riesgo frente al VIH, las</w:t>
      </w:r>
      <w:r w:rsidR="005B2C92" w:rsidRPr="00DE11D8">
        <w:t xml:space="preserve"> </w:t>
      </w:r>
      <w:r w:rsidRPr="00DE11D8">
        <w:t>medidas generales de actuación ante una exposición de riesgo biológico ante el VIH, las ITS, el VHB o VHC,</w:t>
      </w:r>
      <w:r w:rsidR="005B2C92" w:rsidRPr="00DE11D8">
        <w:t xml:space="preserve"> </w:t>
      </w:r>
      <w:r w:rsidRPr="00DE11D8">
        <w:t>el mejor esquema de profilaxis con antirretrovirales en concordancia con las Guías de Práctica clínica vigentes</w:t>
      </w:r>
      <w:r w:rsidR="005B2C92" w:rsidRPr="00DE11D8">
        <w:t xml:space="preserve"> </w:t>
      </w:r>
      <w:r w:rsidRPr="00DE11D8">
        <w:t>en el país, el esquema de profilaxis para el VHB, el seguimiento posterior a la exposición de riesgo y/o al inicio</w:t>
      </w:r>
      <w:r w:rsidR="005B2C92" w:rsidRPr="00DE11D8">
        <w:t xml:space="preserve"> </w:t>
      </w:r>
      <w:r w:rsidRPr="00DE11D8">
        <w:t>de las atenciones profilácticas.</w:t>
      </w:r>
    </w:p>
    <w:p w14:paraId="1EE4B151" w14:textId="28302CE5" w:rsidR="0088451B" w:rsidRPr="00DE11D8" w:rsidRDefault="0088451B" w:rsidP="0088451B">
      <w:r w:rsidRPr="00DE11D8">
        <w:t>Las presentes directrices deben aplicarse de igual forma, en todo el territorio nacional, frente a cualquier</w:t>
      </w:r>
      <w:r w:rsidR="005B2C92" w:rsidRPr="00DE11D8">
        <w:t xml:space="preserve"> </w:t>
      </w:r>
      <w:r w:rsidRPr="00DE11D8">
        <w:t>exposición de riesgo biológico ante el VIH, las ITS, el VIB y el VHC, en una persona que no se encuentra</w:t>
      </w:r>
      <w:r w:rsidR="005B2C92" w:rsidRPr="00DE11D8">
        <w:t xml:space="preserve"> </w:t>
      </w:r>
      <w:r w:rsidRPr="00DE11D8">
        <w:t>infectada por el VIH, el VHB o el VHC.</w:t>
      </w:r>
    </w:p>
    <w:p w14:paraId="3F5B9A67" w14:textId="383F28AD" w:rsidR="003E7721" w:rsidRDefault="003E7721" w:rsidP="0088451B">
      <w:pPr>
        <w:rPr>
          <w:sz w:val="18"/>
          <w:szCs w:val="18"/>
        </w:rPr>
      </w:pPr>
    </w:p>
    <w:p w14:paraId="172C65E5" w14:textId="77777777" w:rsidR="003E7721" w:rsidRPr="003E7721" w:rsidRDefault="003E7721" w:rsidP="00AA2753">
      <w:pPr>
        <w:pStyle w:val="Ttulo1"/>
      </w:pPr>
      <w:bookmarkStart w:id="1" w:name="_Toc84920661"/>
      <w:r w:rsidRPr="003E7721">
        <w:t>2. OBJETIVO.</w:t>
      </w:r>
      <w:bookmarkEnd w:id="1"/>
    </w:p>
    <w:p w14:paraId="6A0844B8" w14:textId="117DC2B6" w:rsidR="003E7721" w:rsidRPr="00DE11D8" w:rsidRDefault="003E7721" w:rsidP="003E7721">
      <w:pPr>
        <w:jc w:val="both"/>
      </w:pPr>
      <w:r w:rsidRPr="00DE11D8">
        <w:t>El presente documento tiene como objetivo, definir directrices de intervención para los diferentes agentes</w:t>
      </w:r>
      <w:r w:rsidR="005B2C92" w:rsidRPr="00DE11D8">
        <w:t xml:space="preserve"> </w:t>
      </w:r>
      <w:r w:rsidRPr="00DE11D8">
        <w:t>involucrados en la atención de personas con exposición de riesgo laboral o no laboral ante las Infecciones de</w:t>
      </w:r>
      <w:r w:rsidR="005B2C92" w:rsidRPr="00DE11D8">
        <w:t xml:space="preserve"> </w:t>
      </w:r>
      <w:r w:rsidRPr="00DE11D8">
        <w:t>transmisión sexual (IT), el Virus de la Inmunodeficiencia humana (VIH) y las Hepatitis B y C; en el marco del</w:t>
      </w:r>
      <w:r w:rsidR="005B2C92" w:rsidRPr="00DE11D8">
        <w:t xml:space="preserve"> </w:t>
      </w:r>
      <w:r w:rsidRPr="00DE11D8">
        <w:t>Sistema de Seguridad Social en Salud de Colombia, el Protocolo insta a adoptar e implementar las directrices</w:t>
      </w:r>
      <w:r w:rsidR="005B2C92" w:rsidRPr="00DE11D8">
        <w:t xml:space="preserve"> </w:t>
      </w:r>
      <w:r w:rsidRPr="00DE11D8">
        <w:t>para actuación efectiva en pro de la prevención de la transmisión de las infecciones ya mencionadas, desde la</w:t>
      </w:r>
      <w:r w:rsidR="005B2C92" w:rsidRPr="00DE11D8">
        <w:t xml:space="preserve"> </w:t>
      </w:r>
      <w:r w:rsidRPr="00DE11D8">
        <w:t>evaluación del riesgo, la administración de profilaxis farmacológica y el seguimiento de las personas</w:t>
      </w:r>
      <w:r w:rsidR="005B2C92" w:rsidRPr="00DE11D8">
        <w:t xml:space="preserve"> </w:t>
      </w:r>
      <w:r w:rsidRPr="00DE11D8">
        <w:t>expuestas que hayan recibido o no la profilaxis.</w:t>
      </w:r>
    </w:p>
    <w:p w14:paraId="512F02BF" w14:textId="13892E35" w:rsidR="003E7721" w:rsidRDefault="003E7721" w:rsidP="003E7721">
      <w:pPr>
        <w:jc w:val="both"/>
        <w:rPr>
          <w:sz w:val="20"/>
          <w:szCs w:val="20"/>
        </w:rPr>
      </w:pPr>
    </w:p>
    <w:p w14:paraId="6EE595BF" w14:textId="77777777" w:rsidR="003E7721" w:rsidRPr="003E7721" w:rsidRDefault="003E7721" w:rsidP="00AA2753">
      <w:pPr>
        <w:pStyle w:val="Ttulo1"/>
      </w:pPr>
      <w:bookmarkStart w:id="2" w:name="_Toc84920662"/>
      <w:r w:rsidRPr="003E7721">
        <w:lastRenderedPageBreak/>
        <w:t>3. DEFINICIONES OPERATIVAS.</w:t>
      </w:r>
      <w:bookmarkEnd w:id="2"/>
    </w:p>
    <w:p w14:paraId="78AEB38C" w14:textId="77777777" w:rsidR="003E7721" w:rsidRPr="00DE11D8" w:rsidRDefault="003E7721" w:rsidP="003E7721">
      <w:pPr>
        <w:jc w:val="both"/>
      </w:pPr>
      <w:r w:rsidRPr="00DE11D8">
        <w:t>Para la aplicación del presente Protocolo, se tendrán en cuenta las siguientes definiciones:</w:t>
      </w:r>
    </w:p>
    <w:p w14:paraId="10BE7269" w14:textId="5832023D" w:rsidR="003E7721" w:rsidRPr="00DE11D8" w:rsidRDefault="003E7721" w:rsidP="003E7721">
      <w:pPr>
        <w:jc w:val="both"/>
      </w:pPr>
      <w:r w:rsidRPr="00DE11D8">
        <w:rPr>
          <w:b/>
          <w:bCs/>
        </w:rPr>
        <w:t>a) Exposición de riesgo no ocupacional:</w:t>
      </w:r>
      <w:r w:rsidRPr="00DE11D8">
        <w:t xml:space="preserve"> Es el contacto de membranas mucosas, piel no intacta o</w:t>
      </w:r>
      <w:r w:rsidR="005B2C92" w:rsidRPr="00DE11D8">
        <w:t xml:space="preserve"> </w:t>
      </w:r>
      <w:r w:rsidRPr="00DE11D8">
        <w:t>exposición percutánea por herida con objeto corto punzante, sangre o fluidos potencialmente</w:t>
      </w:r>
      <w:r w:rsidR="005B2C92" w:rsidRPr="00DE11D8">
        <w:t xml:space="preserve"> </w:t>
      </w:r>
      <w:r w:rsidRPr="00DE11D8">
        <w:t>infecciosos fuera del ámbito laboral, como la exposición sexual sin protección o con fallo de la misma,</w:t>
      </w:r>
      <w:r w:rsidR="005B2C92" w:rsidRPr="00DE11D8">
        <w:t xml:space="preserve"> </w:t>
      </w:r>
      <w:r w:rsidRPr="00DE11D8">
        <w:t>incluyendo la violencia sexual, la exposición parenteral en personas que se inyectan drogas (PID) o</w:t>
      </w:r>
      <w:r w:rsidR="005B2C92" w:rsidRPr="00DE11D8">
        <w:t xml:space="preserve"> </w:t>
      </w:r>
      <w:r w:rsidRPr="00DE11D8">
        <w:t>en personas que acceden a la aplicación de tatuajes o piercings (perforaciones corporales) con</w:t>
      </w:r>
      <w:r w:rsidR="005B2C92" w:rsidRPr="00DE11D8">
        <w:t xml:space="preserve"> </w:t>
      </w:r>
      <w:r w:rsidRPr="00DE11D8">
        <w:t>material no estéril o reusado, la exposición de mucosas, pinchazos accidentales o mordeduras.</w:t>
      </w:r>
    </w:p>
    <w:p w14:paraId="23283D7D" w14:textId="77777777" w:rsidR="003E7721" w:rsidRPr="00DE11D8" w:rsidRDefault="003E7721" w:rsidP="003E7721">
      <w:pPr>
        <w:jc w:val="both"/>
      </w:pPr>
      <w:r w:rsidRPr="00DE11D8">
        <w:t>Códigos CIE 10:</w:t>
      </w:r>
    </w:p>
    <w:p w14:paraId="59CBB2EF" w14:textId="77777777" w:rsidR="003E7721" w:rsidRPr="00DE11D8" w:rsidRDefault="003E7721" w:rsidP="003E7721">
      <w:pPr>
        <w:jc w:val="both"/>
      </w:pPr>
      <w:r w:rsidRPr="00DE11D8">
        <w:t>− Z202: “Contacto con y exposición a enfermedades infecciosas con un modo de transmisión</w:t>
      </w:r>
    </w:p>
    <w:p w14:paraId="769C6272" w14:textId="77777777" w:rsidR="003E7721" w:rsidRPr="00DE11D8" w:rsidRDefault="003E7721" w:rsidP="003E7721">
      <w:pPr>
        <w:jc w:val="both"/>
      </w:pPr>
      <w:r w:rsidRPr="00DE11D8">
        <w:t>predominantemente sexual”</w:t>
      </w:r>
    </w:p>
    <w:p w14:paraId="6879B7A2" w14:textId="77777777" w:rsidR="003E7721" w:rsidRPr="00DE11D8" w:rsidRDefault="003E7721" w:rsidP="003E7721">
      <w:pPr>
        <w:jc w:val="both"/>
      </w:pPr>
      <w:r w:rsidRPr="00DE11D8">
        <w:t>− Z205: “Contacto con y exposición a Hepatitis Virales”.</w:t>
      </w:r>
    </w:p>
    <w:p w14:paraId="2086A462" w14:textId="77777777" w:rsidR="003E7721" w:rsidRPr="00DE11D8" w:rsidRDefault="003E7721" w:rsidP="003E7721">
      <w:pPr>
        <w:jc w:val="both"/>
      </w:pPr>
      <w:r w:rsidRPr="00DE11D8">
        <w:t>− Z206: “Contacto con y exposición al Virus de la Inmunodeficiencia Humana”.</w:t>
      </w:r>
    </w:p>
    <w:p w14:paraId="57C203F2" w14:textId="566D732A" w:rsidR="003E7721" w:rsidRPr="00DE11D8" w:rsidRDefault="003E7721" w:rsidP="003E7721">
      <w:pPr>
        <w:jc w:val="both"/>
      </w:pPr>
      <w:r w:rsidRPr="00DE11D8">
        <w:t>− Z208: “Contacto con y exposición a otras enfermedades transmisibles”.</w:t>
      </w:r>
    </w:p>
    <w:p w14:paraId="3FE7E594" w14:textId="55577822" w:rsidR="003E7721" w:rsidRPr="00DE11D8" w:rsidRDefault="003E7721" w:rsidP="003E7721">
      <w:pPr>
        <w:jc w:val="both"/>
      </w:pPr>
      <w:r w:rsidRPr="00DE11D8">
        <w:rPr>
          <w:b/>
          <w:bCs/>
        </w:rPr>
        <w:t>b) Exposición de riesgo ocupacional:</w:t>
      </w:r>
      <w:r w:rsidRPr="00DE11D8">
        <w:t xml:space="preserve"> Es el contacto de membranas mucosas, piel no intacta o</w:t>
      </w:r>
      <w:r w:rsidR="005B2C92" w:rsidRPr="00DE11D8">
        <w:t xml:space="preserve"> </w:t>
      </w:r>
      <w:r w:rsidRPr="00DE11D8">
        <w:t>exposición percutánea por herida con objeto corto punzante por parte de un trabajador por causa o</w:t>
      </w:r>
      <w:r w:rsidR="005B2C92" w:rsidRPr="00DE11D8">
        <w:t xml:space="preserve"> </w:t>
      </w:r>
      <w:r w:rsidRPr="00DE11D8">
        <w:t>con ocasión o a consecuencia de la realización de un trabajo u oficio, con fluidos potencialmente</w:t>
      </w:r>
      <w:r w:rsidR="005B2C92" w:rsidRPr="00DE11D8">
        <w:t xml:space="preserve"> </w:t>
      </w:r>
      <w:r w:rsidRPr="00DE11D8">
        <w:t>infectantes (sangre, líquido céfalo-raquídeo, líquido sinovial, líquido pleural, líquido peritoneal, líquido</w:t>
      </w:r>
      <w:r w:rsidR="005B2C92" w:rsidRPr="00DE11D8">
        <w:t xml:space="preserve"> </w:t>
      </w:r>
      <w:r w:rsidRPr="00DE11D8">
        <w:t>pericárdico, líquido amniótico, semen y secreciones vaginales o cualquier secreción visiblemente</w:t>
      </w:r>
      <w:r w:rsidR="005B2C92" w:rsidRPr="00DE11D8">
        <w:t xml:space="preserve"> </w:t>
      </w:r>
      <w:r w:rsidRPr="00DE11D8">
        <w:t>contaminada con sangre, y que puede suponer un riesgo de infección a través del mismo).</w:t>
      </w:r>
    </w:p>
    <w:p w14:paraId="426452C8" w14:textId="50C44350" w:rsidR="003E7721" w:rsidRPr="00DE11D8" w:rsidRDefault="003E7721" w:rsidP="003E7721">
      <w:pPr>
        <w:jc w:val="both"/>
      </w:pPr>
      <w:r w:rsidRPr="00DE11D8">
        <w:t>Las exposiciones percutáneas son más riesgosas para la transmisión del VIH que las mucosas. Según el</w:t>
      </w:r>
      <w:r w:rsidR="005B2C92" w:rsidRPr="00DE11D8">
        <w:t xml:space="preserve"> </w:t>
      </w:r>
      <w:r w:rsidRPr="00DE11D8">
        <w:t>CDC, el riesgo promedio de seroconversión del VIH después de una EO percutánea es aproximadamente del</w:t>
      </w:r>
      <w:r w:rsidR="005B2C92" w:rsidRPr="00DE11D8">
        <w:t xml:space="preserve"> </w:t>
      </w:r>
      <w:r w:rsidRPr="00DE11D8">
        <w:t>0,3% (IC 95%:0.2 a 0,5%), lo que supone 3 infecciones por cada 1000 incidentes. Tras la exposición de</w:t>
      </w:r>
      <w:r w:rsidR="005B2C92" w:rsidRPr="00DE11D8">
        <w:t xml:space="preserve"> </w:t>
      </w:r>
      <w:r w:rsidRPr="00DE11D8">
        <w:t>mucosas, el riesgo se reduce al 0,09% (IC 95%:0,006 a 0,5%), siendo incluso menor cuando el contacto es</w:t>
      </w:r>
      <w:r w:rsidR="008136E9" w:rsidRPr="00DE11D8">
        <w:t xml:space="preserve"> </w:t>
      </w:r>
      <w:r w:rsidRPr="00DE11D8">
        <w:t>con piel no intacta.4</w:t>
      </w:r>
    </w:p>
    <w:p w14:paraId="4A3C957B" w14:textId="77777777" w:rsidR="003E7721" w:rsidRPr="00DE11D8" w:rsidRDefault="003E7721" w:rsidP="003E7721">
      <w:pPr>
        <w:jc w:val="both"/>
      </w:pPr>
      <w:r w:rsidRPr="00DE11D8">
        <w:t>Códigos CIE 10:</w:t>
      </w:r>
    </w:p>
    <w:p w14:paraId="113F5B84" w14:textId="77777777" w:rsidR="003E7721" w:rsidRPr="00DE11D8" w:rsidRDefault="003E7721" w:rsidP="003E7721">
      <w:pPr>
        <w:jc w:val="both"/>
      </w:pPr>
      <w:r w:rsidRPr="00DE11D8">
        <w:t>− Z205: “Contacto con y exposición a Hepatitis Virales”.</w:t>
      </w:r>
    </w:p>
    <w:p w14:paraId="46A68389" w14:textId="77777777" w:rsidR="003E7721" w:rsidRPr="00DE11D8" w:rsidRDefault="003E7721" w:rsidP="003E7721">
      <w:pPr>
        <w:jc w:val="both"/>
      </w:pPr>
      <w:r w:rsidRPr="00DE11D8">
        <w:t>− Z206: “Contacto con y exposición al Virus de la Inmunodeficiencia Humana”.</w:t>
      </w:r>
    </w:p>
    <w:p w14:paraId="3B0D8696" w14:textId="0F8E654E" w:rsidR="003E7721" w:rsidRPr="00DE11D8" w:rsidRDefault="003E7721" w:rsidP="003E7721">
      <w:pPr>
        <w:jc w:val="both"/>
      </w:pPr>
      <w:r w:rsidRPr="00DE11D8">
        <w:t>− Z208: “Contacto con y exposición a otras enfermedades transmisibles”.</w:t>
      </w:r>
    </w:p>
    <w:p w14:paraId="64D10D2B" w14:textId="5110C54A" w:rsidR="003E7721" w:rsidRPr="00DE11D8" w:rsidRDefault="003E7721" w:rsidP="003E7721">
      <w:pPr>
        <w:jc w:val="both"/>
      </w:pPr>
      <w:r w:rsidRPr="00DE11D8">
        <w:rPr>
          <w:b/>
          <w:bCs/>
        </w:rPr>
        <w:t>c) Grupos ocupacionales a riesgo para VIH:</w:t>
      </w:r>
      <w:r w:rsidRPr="00DE11D8">
        <w:t xml:space="preserve"> Trabajadores de la salud, recolectores de residuos</w:t>
      </w:r>
      <w:r w:rsidR="008136E9" w:rsidRPr="00DE11D8">
        <w:t xml:space="preserve"> </w:t>
      </w:r>
      <w:r w:rsidRPr="00DE11D8">
        <w:t>biológicos, fuerzas armadas y policiales, cuerpos de socorro, personas que trabajan con poblaciones</w:t>
      </w:r>
      <w:r w:rsidR="008136E9" w:rsidRPr="00DE11D8">
        <w:t xml:space="preserve"> </w:t>
      </w:r>
      <w:r w:rsidRPr="00DE11D8">
        <w:lastRenderedPageBreak/>
        <w:t>en contextos de vulnerabilidad (víctimas de catástrofes naturales, accidentes o personas en contextos</w:t>
      </w:r>
      <w:r w:rsidR="008136E9" w:rsidRPr="00DE11D8">
        <w:t xml:space="preserve"> </w:t>
      </w:r>
      <w:r w:rsidRPr="00DE11D8">
        <w:t>humanitarios, personas que consumen sustancias psicoactivas por vía inyectada, habitantes de calle,</w:t>
      </w:r>
      <w:r w:rsidR="008136E9" w:rsidRPr="00DE11D8">
        <w:t xml:space="preserve"> </w:t>
      </w:r>
      <w:r w:rsidRPr="00DE11D8">
        <w:t>entre otros) y que debido a su trabajo se vean expuestas al contacto con fluidos corporales infectantes</w:t>
      </w:r>
      <w:r w:rsidR="008136E9" w:rsidRPr="00DE11D8">
        <w:t xml:space="preserve"> </w:t>
      </w:r>
      <w:r w:rsidRPr="00DE11D8">
        <w:t>(pinchazos o salpicaduras), tatuadores, personas que realizan algún tipo de perforación o expansión</w:t>
      </w:r>
      <w:r w:rsidR="008136E9" w:rsidRPr="00DE11D8">
        <w:t xml:space="preserve"> </w:t>
      </w:r>
      <w:r w:rsidRPr="00DE11D8">
        <w:t>en alguna parte del cuerpo, peluqueros, trabajadores sexuales, personas que manipulan cadáveres</w:t>
      </w:r>
      <w:r w:rsidR="008136E9" w:rsidRPr="00DE11D8">
        <w:t xml:space="preserve"> </w:t>
      </w:r>
      <w:r w:rsidRPr="00DE11D8">
        <w:t>(en tanatopraxia, medicina legal, fiscalía o similares). Personas que realizan el aseo en hoteles o</w:t>
      </w:r>
      <w:r w:rsidR="008136E9" w:rsidRPr="00DE11D8">
        <w:t xml:space="preserve"> </w:t>
      </w:r>
      <w:r w:rsidRPr="00DE11D8">
        <w:t>similares (desecho inadecuado de objetos corto-punzantes). Recolectores de basura y recicladores.</w:t>
      </w:r>
    </w:p>
    <w:p w14:paraId="10C3F319" w14:textId="77777777" w:rsidR="003C4FA4" w:rsidRPr="00DE11D8" w:rsidRDefault="003C4FA4" w:rsidP="003C4FA4">
      <w:pPr>
        <w:jc w:val="both"/>
        <w:rPr>
          <w:sz w:val="20"/>
          <w:szCs w:val="20"/>
        </w:rPr>
      </w:pPr>
      <w:r w:rsidRPr="00DE11D8">
        <w:rPr>
          <w:sz w:val="20"/>
          <w:szCs w:val="20"/>
        </w:rPr>
        <w:t xml:space="preserve">4 Documento de Consenso sobre Profilaxis </w:t>
      </w:r>
      <w:proofErr w:type="spellStart"/>
      <w:r w:rsidRPr="00DE11D8">
        <w:rPr>
          <w:sz w:val="20"/>
          <w:szCs w:val="20"/>
        </w:rPr>
        <w:t>pos-exposición</w:t>
      </w:r>
      <w:proofErr w:type="spellEnd"/>
      <w:r w:rsidRPr="00DE11D8">
        <w:rPr>
          <w:sz w:val="20"/>
          <w:szCs w:val="20"/>
        </w:rPr>
        <w:t xml:space="preserve"> ocupacional y no ocupacional en relación con el VIH, VHB y VHC en adultos y niños.</w:t>
      </w:r>
    </w:p>
    <w:p w14:paraId="5D8E832F" w14:textId="02B5AFB6" w:rsidR="003C4FA4" w:rsidRPr="00DE11D8" w:rsidRDefault="003C4FA4" w:rsidP="003C4FA4">
      <w:pPr>
        <w:jc w:val="both"/>
        <w:rPr>
          <w:sz w:val="20"/>
          <w:szCs w:val="20"/>
        </w:rPr>
      </w:pPr>
      <w:r w:rsidRPr="00DE11D8">
        <w:rPr>
          <w:sz w:val="20"/>
          <w:szCs w:val="20"/>
        </w:rPr>
        <w:t>GESIDA, Marzo de 2015.</w:t>
      </w:r>
    </w:p>
    <w:p w14:paraId="3A35E43A" w14:textId="61960A3A" w:rsidR="003C4FA4" w:rsidRPr="00DE11D8" w:rsidRDefault="003C4FA4" w:rsidP="003C4FA4">
      <w:pPr>
        <w:jc w:val="both"/>
      </w:pPr>
      <w:r w:rsidRPr="00DE11D8">
        <w:rPr>
          <w:b/>
          <w:bCs/>
        </w:rPr>
        <w:t>d) Grupos ocupacionales a riesgo para el VHB:</w:t>
      </w:r>
      <w:r w:rsidRPr="00DE11D8">
        <w:t xml:space="preserve"> Personas pertenecientes al sector salud (laboratorio,</w:t>
      </w:r>
      <w:r w:rsidR="008136E9" w:rsidRPr="00DE11D8">
        <w:t xml:space="preserve"> </w:t>
      </w:r>
      <w:r w:rsidRPr="00DE11D8">
        <w:t>patología, cirugía, banco de sangre, hemodiálisis, morgue, atención de emergencias médicas,</w:t>
      </w:r>
      <w:r w:rsidR="008136E9" w:rsidRPr="00DE11D8">
        <w:t xml:space="preserve"> </w:t>
      </w:r>
      <w:r w:rsidRPr="00DE11D8">
        <w:t>paramédicos y odontología, salas de cirugía entre otros). Trabajadores que manejan patógenos en</w:t>
      </w:r>
      <w:r w:rsidR="008136E9" w:rsidRPr="00DE11D8">
        <w:t xml:space="preserve"> </w:t>
      </w:r>
      <w:r w:rsidRPr="00DE11D8">
        <w:t>laboratorios de investigación. Trabajadores sexuales5. Personas que laboran en instituciones con</w:t>
      </w:r>
      <w:r w:rsidR="008136E9" w:rsidRPr="00DE11D8">
        <w:t xml:space="preserve"> </w:t>
      </w:r>
      <w:r w:rsidRPr="00DE11D8">
        <w:t>población cautiva (Por ejemplo: cárceles, personas con deficiencia cognitiva, hogares de paso para</w:t>
      </w:r>
      <w:r w:rsidR="008136E9" w:rsidRPr="00DE11D8">
        <w:t xml:space="preserve"> </w:t>
      </w:r>
      <w:r w:rsidRPr="00DE11D8">
        <w:t>niños que están en proceso de adopción y que provengan de zonas endémicas para HB.</w:t>
      </w:r>
    </w:p>
    <w:p w14:paraId="0F228900" w14:textId="3D3AF607" w:rsidR="003C4FA4" w:rsidRPr="00DE11D8" w:rsidRDefault="003C4FA4" w:rsidP="003C4FA4">
      <w:pPr>
        <w:jc w:val="both"/>
      </w:pPr>
      <w:r w:rsidRPr="00DE11D8">
        <w:t>Trabajadores que viajan a áreas endémicas sin adecuada protección. Servicios funerarios. Personas</w:t>
      </w:r>
      <w:r w:rsidR="008136E9" w:rsidRPr="00DE11D8">
        <w:t xml:space="preserve"> </w:t>
      </w:r>
      <w:r w:rsidRPr="00DE11D8">
        <w:t>que laboran en sitios de procedimientos estéticos y no asociados al cuidado de la salud tales como</w:t>
      </w:r>
      <w:r w:rsidR="008136E9" w:rsidRPr="00DE11D8">
        <w:t xml:space="preserve"> </w:t>
      </w:r>
      <w:r w:rsidRPr="00DE11D8">
        <w:t xml:space="preserve">piercing, tatuajes, </w:t>
      </w:r>
      <w:proofErr w:type="spellStart"/>
      <w:r w:rsidRPr="00DE11D8">
        <w:t>micro-pigmentación</w:t>
      </w:r>
      <w:proofErr w:type="spellEnd"/>
      <w:r w:rsidRPr="00DE11D8">
        <w:t xml:space="preserve"> o de modificaciones corporales, entre otros. Personas que</w:t>
      </w:r>
      <w:r w:rsidR="008136E9" w:rsidRPr="00DE11D8">
        <w:t xml:space="preserve"> </w:t>
      </w:r>
      <w:r w:rsidRPr="00DE11D8">
        <w:t>manipulan cadáveres (en tanatopraxia, medicina legal, fiscalía o similares). Personas que realizan el</w:t>
      </w:r>
      <w:r w:rsidR="008136E9" w:rsidRPr="00DE11D8">
        <w:t xml:space="preserve"> </w:t>
      </w:r>
      <w:r w:rsidRPr="00DE11D8">
        <w:t>aseo en hoteles o similares (desecho inadecuado de objetos cortopunzantes). Recolectores de basura</w:t>
      </w:r>
      <w:r w:rsidR="008136E9" w:rsidRPr="00DE11D8">
        <w:t xml:space="preserve"> </w:t>
      </w:r>
      <w:r w:rsidRPr="00DE11D8">
        <w:t>y recicladores.</w:t>
      </w:r>
    </w:p>
    <w:p w14:paraId="474C4D2C" w14:textId="5857ECB3" w:rsidR="002B7844" w:rsidRPr="00DE11D8" w:rsidRDefault="002B7844" w:rsidP="002B7844">
      <w:pPr>
        <w:jc w:val="both"/>
      </w:pPr>
      <w:r w:rsidRPr="00DE11D8">
        <w:rPr>
          <w:b/>
          <w:bCs/>
        </w:rPr>
        <w:t>e) Grupos ocupacionales a riesgo para el VHC:</w:t>
      </w:r>
      <w:r w:rsidRPr="00DE11D8">
        <w:t xml:space="preserve"> Trabajadores de la salud incluyendo a profesionales</w:t>
      </w:r>
      <w:r w:rsidR="00156FF1" w:rsidRPr="00DE11D8">
        <w:t xml:space="preserve"> </w:t>
      </w:r>
      <w:r w:rsidRPr="00DE11D8">
        <w:t>de la medicina, odontología, enfermería, personal de laboratorio, de bancos de sangre, personal de</w:t>
      </w:r>
      <w:r w:rsidR="00156FF1" w:rsidRPr="00DE11D8">
        <w:t xml:space="preserve"> </w:t>
      </w:r>
      <w:r w:rsidRPr="00DE11D8">
        <w:t>ambulancias, personal de limpieza, lavandería y mantenimiento en instituciones prestadoras de</w:t>
      </w:r>
      <w:r w:rsidR="00156FF1" w:rsidRPr="00DE11D8">
        <w:t xml:space="preserve"> </w:t>
      </w:r>
      <w:r w:rsidRPr="00DE11D8">
        <w:t>servicios de salud; personal de prisiones, trabajadores sexuales, personal que hace tatuajes y</w:t>
      </w:r>
      <w:r w:rsidR="00156FF1" w:rsidRPr="00DE11D8">
        <w:t xml:space="preserve"> </w:t>
      </w:r>
      <w:r w:rsidRPr="00DE11D8">
        <w:t>piercings personas que manipulan cadáveres (en tanatopraxia, medicina legal, fiscalía o similares),</w:t>
      </w:r>
      <w:r w:rsidR="00156FF1" w:rsidRPr="00DE11D8">
        <w:t xml:space="preserve"> </w:t>
      </w:r>
      <w:r w:rsidRPr="00DE11D8">
        <w:t>recolectores de basura y recicladores, personas que realizan el aseo en hoteles o similares (desecho</w:t>
      </w:r>
      <w:r w:rsidR="00156FF1" w:rsidRPr="00DE11D8">
        <w:t xml:space="preserve"> </w:t>
      </w:r>
      <w:r w:rsidRPr="00DE11D8">
        <w:t>inadecuado de objetos corto-punzantes).</w:t>
      </w:r>
    </w:p>
    <w:p w14:paraId="60AF31FF" w14:textId="373E547E" w:rsidR="002B7844" w:rsidRPr="00DE11D8" w:rsidRDefault="002B7844" w:rsidP="002B7844">
      <w:pPr>
        <w:jc w:val="both"/>
      </w:pPr>
      <w:r w:rsidRPr="00DE11D8">
        <w:rPr>
          <w:b/>
          <w:bCs/>
        </w:rPr>
        <w:t>f) Grupos ocupacionales a riesgo para Sífilis y otras ITS:</w:t>
      </w:r>
      <w:r w:rsidRPr="00DE11D8">
        <w:t xml:space="preserve"> trabajadores de la salud, trabajadores de</w:t>
      </w:r>
      <w:r w:rsidR="00156FF1" w:rsidRPr="00DE11D8">
        <w:t xml:space="preserve"> </w:t>
      </w:r>
      <w:r w:rsidRPr="00DE11D8">
        <w:t>morgues o servicios funerarios y trabajadores sexuales.</w:t>
      </w:r>
    </w:p>
    <w:p w14:paraId="581B19E9" w14:textId="3A5E8759" w:rsidR="002B7844" w:rsidRPr="00DE11D8" w:rsidRDefault="002B7844" w:rsidP="002B7844">
      <w:pPr>
        <w:jc w:val="both"/>
      </w:pPr>
      <w:r w:rsidRPr="00DE11D8">
        <w:rPr>
          <w:b/>
          <w:bCs/>
        </w:rPr>
        <w:t>g) Fuente</w:t>
      </w:r>
      <w:r w:rsidRPr="00DE11D8">
        <w:t>: Se refiere a personas, tejidos, objetos o sustancias, desde las cuales pueda ser posible la</w:t>
      </w:r>
      <w:r w:rsidR="00156FF1" w:rsidRPr="00DE11D8">
        <w:t xml:space="preserve"> </w:t>
      </w:r>
      <w:r w:rsidRPr="00DE11D8">
        <w:t>transmisión del VIH, las ITS o las Hepatitis B o C.</w:t>
      </w:r>
    </w:p>
    <w:p w14:paraId="5BEE3E8C" w14:textId="010A51AE" w:rsidR="002B7844" w:rsidRPr="00DE11D8" w:rsidRDefault="002B7844" w:rsidP="002B7844">
      <w:pPr>
        <w:jc w:val="both"/>
      </w:pPr>
      <w:r w:rsidRPr="00DE11D8">
        <w:rPr>
          <w:b/>
          <w:bCs/>
        </w:rPr>
        <w:t>h) Fuentes para VIH y sobrevivencia fuera del huésped:</w:t>
      </w:r>
      <w:r w:rsidRPr="00DE11D8">
        <w:t xml:space="preserve"> Son fluidos como la sangre, semen,</w:t>
      </w:r>
      <w:r w:rsidR="00156FF1" w:rsidRPr="00DE11D8">
        <w:t xml:space="preserve"> </w:t>
      </w:r>
      <w:r w:rsidRPr="00DE11D8">
        <w:t xml:space="preserve">secreciones vaginales, leche materna, líquido céfalo-raquídeo, líquido sinovial, líquido pleural, </w:t>
      </w:r>
      <w:r w:rsidRPr="00DE11D8">
        <w:lastRenderedPageBreak/>
        <w:t>líquido</w:t>
      </w:r>
      <w:r w:rsidR="00156FF1" w:rsidRPr="00DE11D8">
        <w:t xml:space="preserve"> </w:t>
      </w:r>
      <w:r w:rsidRPr="00DE11D8">
        <w:t>peritoneal, líquido pericárdico y líquido amniótico. También se consideran potencialmente infecciosos</w:t>
      </w:r>
      <w:r w:rsidR="00156FF1" w:rsidRPr="00DE11D8">
        <w:t xml:space="preserve"> </w:t>
      </w:r>
      <w:r w:rsidRPr="00DE11D8">
        <w:t>los tejidos, órganos, cultivos celulares y los concentrados de virus de laboratorio. No se consideran</w:t>
      </w:r>
      <w:r w:rsidR="00156FF1" w:rsidRPr="00DE11D8">
        <w:t xml:space="preserve"> </w:t>
      </w:r>
      <w:r w:rsidRPr="00DE11D8">
        <w:t>infecciosos para VIH el sudor, el esputo, la orina, las heces, el vómito las secreciones nasales, la</w:t>
      </w:r>
      <w:r w:rsidR="00156FF1" w:rsidRPr="00DE11D8">
        <w:t xml:space="preserve"> </w:t>
      </w:r>
      <w:r w:rsidRPr="00DE11D8">
        <w:t>saliva ni las lágrimas, a menos que estén visiblemente contaminadas con sangre. El VIH es muy lábil</w:t>
      </w:r>
      <w:r w:rsidR="00156FF1" w:rsidRPr="00DE11D8">
        <w:t xml:space="preserve"> </w:t>
      </w:r>
      <w:r w:rsidRPr="00DE11D8">
        <w:t>a cambios de pH y humedad fuera del huésped, en cuanto estas condiciones dejan de ser óptimas,</w:t>
      </w:r>
      <w:r w:rsidR="00156FF1" w:rsidRPr="00DE11D8">
        <w:t xml:space="preserve"> </w:t>
      </w:r>
      <w:r w:rsidRPr="00DE11D8">
        <w:t>su sobrevida es de pocos minutos y no puede multiplicarse.</w:t>
      </w:r>
    </w:p>
    <w:p w14:paraId="258D5CDF" w14:textId="77777777" w:rsidR="002B7844" w:rsidRPr="00DE11D8" w:rsidRDefault="002B7844" w:rsidP="002B7844">
      <w:pPr>
        <w:jc w:val="both"/>
      </w:pPr>
      <w:r w:rsidRPr="00DE11D8">
        <w:rPr>
          <w:b/>
          <w:bCs/>
        </w:rPr>
        <w:t>i) Fuentes para ITS:</w:t>
      </w:r>
      <w:r w:rsidRPr="00DE11D8">
        <w:t xml:space="preserve"> Son fluidos como la sangre, semen, secreciones vaginales.</w:t>
      </w:r>
    </w:p>
    <w:p w14:paraId="62C3C796" w14:textId="1D4A950A" w:rsidR="002B7844" w:rsidRPr="00DE11D8" w:rsidRDefault="002B7844" w:rsidP="002B7844">
      <w:pPr>
        <w:jc w:val="both"/>
      </w:pPr>
      <w:r w:rsidRPr="00DE11D8">
        <w:rPr>
          <w:b/>
          <w:bCs/>
        </w:rPr>
        <w:t>j) Fuentes para VHB y sobrevivencia fuera del huésped:</w:t>
      </w:r>
      <w:r w:rsidRPr="00DE11D8">
        <w:t xml:space="preserve"> Sangre y varios fluidos corporales como</w:t>
      </w:r>
      <w:r w:rsidR="00156FF1" w:rsidRPr="00DE11D8">
        <w:t xml:space="preserve"> </w:t>
      </w:r>
      <w:r w:rsidRPr="00DE11D8">
        <w:t xml:space="preserve">semen, secreciones vaginales, saliva, leche materna, calostro y líquidos corporales tales </w:t>
      </w:r>
      <w:r w:rsidR="001B7615" w:rsidRPr="00DE11D8">
        <w:t>como cefalorraquídeo</w:t>
      </w:r>
      <w:r w:rsidRPr="00DE11D8">
        <w:t>, pleural, pericárdico, peritoneal, ascítico, amniótico o sinovial; también por tejidos u</w:t>
      </w:r>
      <w:r w:rsidR="00156FF1" w:rsidRPr="00DE11D8">
        <w:t xml:space="preserve"> </w:t>
      </w:r>
      <w:r w:rsidRPr="00DE11D8">
        <w:t>órganos no fijados pero contaminados. La orina no es infecciosa para VHB a menos que esté</w:t>
      </w:r>
      <w:r w:rsidR="00156FF1" w:rsidRPr="00DE11D8">
        <w:t xml:space="preserve"> </w:t>
      </w:r>
      <w:r w:rsidRPr="00DE11D8">
        <w:t>contaminada con sangre.</w:t>
      </w:r>
    </w:p>
    <w:p w14:paraId="247BD88F" w14:textId="74603E0A" w:rsidR="002B7844" w:rsidRPr="00DE11D8" w:rsidRDefault="002B7844" w:rsidP="002B7844">
      <w:pPr>
        <w:pStyle w:val="Piedepgina"/>
      </w:pPr>
      <w:r w:rsidRPr="00DE11D8">
        <w:t>5 (Instituto Nacional de Salud. Equipo ITS. , 2016)</w:t>
      </w:r>
    </w:p>
    <w:p w14:paraId="2B38E95D" w14:textId="415D65A2" w:rsidR="002B7844" w:rsidRPr="00DE11D8" w:rsidRDefault="002B7844" w:rsidP="002B7844">
      <w:pPr>
        <w:pStyle w:val="Piedepgina"/>
      </w:pPr>
    </w:p>
    <w:p w14:paraId="3710D151" w14:textId="627EAF91" w:rsidR="002B7844" w:rsidRPr="00DE11D8" w:rsidRDefault="002B7844" w:rsidP="002B7844">
      <w:pPr>
        <w:pStyle w:val="Piedepgina"/>
        <w:jc w:val="both"/>
      </w:pPr>
      <w:r w:rsidRPr="00DE11D8">
        <w:t>Las concentraciones del virus varían de alta en sangre y en secreciones de heridas, moderada en</w:t>
      </w:r>
      <w:r w:rsidR="00156FF1" w:rsidRPr="00DE11D8">
        <w:t xml:space="preserve"> </w:t>
      </w:r>
      <w:r w:rsidRPr="00DE11D8">
        <w:t>semen y fluido vaginal, y bajas en saliva. Sobrevive en sangre seca durante largos periodos, incluso</w:t>
      </w:r>
      <w:r w:rsidR="00156FF1" w:rsidRPr="00DE11D8">
        <w:t xml:space="preserve"> </w:t>
      </w:r>
      <w:r w:rsidRPr="00DE11D8">
        <w:t>semanas (en</w:t>
      </w:r>
      <w:r w:rsidR="00156FF1" w:rsidRPr="00DE11D8">
        <w:t xml:space="preserve"> </w:t>
      </w:r>
      <w:r w:rsidRPr="00DE11D8">
        <w:t>promedio 10 días), en superficies ambientales es estable hasta siete días a 25ºC. Dado</w:t>
      </w:r>
      <w:r w:rsidR="00156FF1" w:rsidRPr="00DE11D8">
        <w:t xml:space="preserve"> </w:t>
      </w:r>
      <w:r w:rsidRPr="00DE11D8">
        <w:t>que permanece hasta una semana en superficie inanimada, se puede esparcir fácilmente si se comparten objetos como toallas, cuchillas, navajas, cepillos de dientes y elementos corto-punzantes;</w:t>
      </w:r>
      <w:r w:rsidR="00156FF1" w:rsidRPr="00DE11D8">
        <w:t xml:space="preserve"> </w:t>
      </w:r>
      <w:r w:rsidRPr="00DE11D8">
        <w:t>los títulos de virus pueden ser altos aun cuando la sangre no sea visible.</w:t>
      </w:r>
    </w:p>
    <w:p w14:paraId="0AD93083" w14:textId="77777777" w:rsidR="00156FF1" w:rsidRPr="00DE11D8" w:rsidRDefault="00156FF1" w:rsidP="002B7844">
      <w:pPr>
        <w:pStyle w:val="Piedepgina"/>
        <w:jc w:val="both"/>
      </w:pPr>
    </w:p>
    <w:p w14:paraId="1C0F6B45" w14:textId="47B2CDA7" w:rsidR="002B7844" w:rsidRPr="00DE11D8" w:rsidRDefault="002B7844" w:rsidP="002B7844">
      <w:pPr>
        <w:pStyle w:val="Piedepgina"/>
        <w:jc w:val="both"/>
      </w:pPr>
      <w:r w:rsidRPr="00DE11D8">
        <w:rPr>
          <w:b/>
          <w:bCs/>
        </w:rPr>
        <w:t>k) Fuentes para VHC y sobrevivencia fuera del huésped:</w:t>
      </w:r>
      <w:r w:rsidRPr="00DE11D8">
        <w:t xml:space="preserve"> Sangre, productos sanguíneos y fluidos</w:t>
      </w:r>
      <w:r w:rsidR="00156FF1" w:rsidRPr="00DE11D8">
        <w:t xml:space="preserve"> </w:t>
      </w:r>
      <w:r w:rsidRPr="00DE11D8">
        <w:t>corporales,</w:t>
      </w:r>
      <w:r w:rsidR="00156FF1" w:rsidRPr="00DE11D8">
        <w:t xml:space="preserve"> </w:t>
      </w:r>
      <w:r w:rsidRPr="00DE11D8">
        <w:t>tejidos o equipos contaminados con sangre infectada por el VHC.</w:t>
      </w:r>
    </w:p>
    <w:p w14:paraId="582C12E5" w14:textId="77777777" w:rsidR="00156FF1" w:rsidRPr="00DE11D8" w:rsidRDefault="00156FF1" w:rsidP="002B7844">
      <w:pPr>
        <w:pStyle w:val="Piedepgina"/>
        <w:jc w:val="both"/>
      </w:pPr>
    </w:p>
    <w:p w14:paraId="1FD0CBBE" w14:textId="307EE2A9" w:rsidR="002B7844" w:rsidRPr="00DE11D8" w:rsidRDefault="002B7844" w:rsidP="002B7844">
      <w:pPr>
        <w:pStyle w:val="Piedepgina"/>
        <w:jc w:val="both"/>
      </w:pPr>
      <w:r w:rsidRPr="00DE11D8">
        <w:t>El VHC es relativamente inestable, se han descrito tiempo variables de su supervivencia fuera del</w:t>
      </w:r>
      <w:r w:rsidR="00156FF1" w:rsidRPr="00DE11D8">
        <w:t xml:space="preserve"> </w:t>
      </w:r>
      <w:r w:rsidRPr="00DE11D8">
        <w:t>huésped a temperatura ambiente que van entre 16 horas, hasta tres o varias semanas.</w:t>
      </w:r>
    </w:p>
    <w:p w14:paraId="430C8272" w14:textId="77777777" w:rsidR="002B7844" w:rsidRPr="00DE11D8" w:rsidRDefault="002B7844" w:rsidP="002B7844">
      <w:pPr>
        <w:pStyle w:val="Piedepgina"/>
        <w:jc w:val="both"/>
      </w:pPr>
    </w:p>
    <w:p w14:paraId="30818497" w14:textId="01049B82" w:rsidR="002B7844" w:rsidRPr="00DE11D8" w:rsidRDefault="002B7844" w:rsidP="002B7844">
      <w:pPr>
        <w:pStyle w:val="Piedepgina"/>
        <w:jc w:val="both"/>
      </w:pPr>
      <w:r w:rsidRPr="00DE11D8">
        <w:rPr>
          <w:b/>
          <w:bCs/>
        </w:rPr>
        <w:t>l) Kit de Profilaxis Post-Exposición:</w:t>
      </w:r>
      <w:r w:rsidRPr="00DE11D8">
        <w:t xml:space="preserve"> Conjunto de pruebas rápidas y medicamentos necesarios para</w:t>
      </w:r>
      <w:r w:rsidR="00156FF1" w:rsidRPr="00DE11D8">
        <w:t xml:space="preserve"> </w:t>
      </w:r>
      <w:r w:rsidRPr="00DE11D8">
        <w:t xml:space="preserve">la prevención </w:t>
      </w:r>
      <w:proofErr w:type="spellStart"/>
      <w:r w:rsidRPr="00DE11D8">
        <w:t>post-exposición</w:t>
      </w:r>
      <w:proofErr w:type="spellEnd"/>
      <w:r w:rsidRPr="00DE11D8">
        <w:t xml:space="preserve"> ante las ITS, el VIH y la Hepatitis B y la Anticoncepción de emergencia.</w:t>
      </w:r>
    </w:p>
    <w:p w14:paraId="2BD62C6E" w14:textId="18483912" w:rsidR="002B7844" w:rsidRPr="00DE11D8" w:rsidRDefault="002B7844" w:rsidP="002B7844">
      <w:pPr>
        <w:pStyle w:val="Piedepgina"/>
        <w:jc w:val="both"/>
      </w:pPr>
      <w:r w:rsidRPr="00DE11D8">
        <w:t>Deben estar disponibles las 24 horas del día en todos los servicios de urgencias o en los servicios de</w:t>
      </w:r>
      <w:r w:rsidR="00156FF1" w:rsidRPr="00DE11D8">
        <w:t xml:space="preserve"> </w:t>
      </w:r>
      <w:r w:rsidRPr="00DE11D8">
        <w:t>salud capacitados para la administración de la profilaxis. Se requiere que los Kits estén disponibles</w:t>
      </w:r>
      <w:r w:rsidR="00156FF1" w:rsidRPr="00DE11D8">
        <w:t xml:space="preserve"> </w:t>
      </w:r>
      <w:r w:rsidRPr="00DE11D8">
        <w:t>tanto para</w:t>
      </w:r>
      <w:r w:rsidR="00156FF1" w:rsidRPr="00DE11D8">
        <w:t xml:space="preserve"> </w:t>
      </w:r>
      <w:r w:rsidRPr="00DE11D8">
        <w:t>personas para mayores, como para menores de 13 años.</w:t>
      </w:r>
    </w:p>
    <w:p w14:paraId="456A7237" w14:textId="77777777" w:rsidR="002B7844" w:rsidRPr="00DE11D8" w:rsidRDefault="002B7844" w:rsidP="002B7844">
      <w:pPr>
        <w:pStyle w:val="Piedepgina"/>
        <w:jc w:val="both"/>
      </w:pPr>
    </w:p>
    <w:p w14:paraId="2ED06872" w14:textId="061B57D8" w:rsidR="002B7844" w:rsidRPr="00DE11D8" w:rsidRDefault="002B7844" w:rsidP="002B7844">
      <w:pPr>
        <w:pStyle w:val="Piedepgina"/>
        <w:jc w:val="both"/>
      </w:pPr>
      <w:r w:rsidRPr="00DE11D8">
        <w:rPr>
          <w:b/>
          <w:bCs/>
        </w:rPr>
        <w:t>m) Población Clave, frente a VIH:</w:t>
      </w:r>
      <w:r w:rsidRPr="00DE11D8">
        <w:t xml:space="preserve"> Son los grupos poblacionales, de los cuales se conoce a través de</w:t>
      </w:r>
      <w:r w:rsidR="00156FF1" w:rsidRPr="00DE11D8">
        <w:t xml:space="preserve"> </w:t>
      </w:r>
      <w:r w:rsidRPr="00DE11D8">
        <w:t xml:space="preserve">estudios </w:t>
      </w:r>
      <w:proofErr w:type="spellStart"/>
      <w:r w:rsidRPr="00DE11D8">
        <w:t>cuali</w:t>
      </w:r>
      <w:proofErr w:type="spellEnd"/>
      <w:r w:rsidRPr="00DE11D8">
        <w:t>-cuantitativos, que su prevalencia del VIH es superior al 1% o que en razón de múltiples</w:t>
      </w:r>
      <w:r w:rsidR="00156FF1" w:rsidRPr="00DE11D8">
        <w:t xml:space="preserve"> </w:t>
      </w:r>
      <w:r w:rsidRPr="00DE11D8">
        <w:t>factores pueden</w:t>
      </w:r>
      <w:r w:rsidR="00156FF1" w:rsidRPr="00DE11D8">
        <w:t xml:space="preserve"> </w:t>
      </w:r>
      <w:r w:rsidRPr="00DE11D8">
        <w:t>ser más vulnerables a la exposición con el virus. Por ejemplo, hombres que tienen</w:t>
      </w:r>
      <w:r w:rsidR="00156FF1" w:rsidRPr="00DE11D8">
        <w:t xml:space="preserve"> </w:t>
      </w:r>
      <w:r w:rsidRPr="00DE11D8">
        <w:t>relaciones sexuales con otros hombres, mujeres transgénero, personas que se inyectan drogas,</w:t>
      </w:r>
      <w:r w:rsidR="00156FF1" w:rsidRPr="00DE11D8">
        <w:t xml:space="preserve"> </w:t>
      </w:r>
      <w:r w:rsidRPr="00DE11D8">
        <w:t>habitantes de calle, mujeres</w:t>
      </w:r>
      <w:r w:rsidR="00156FF1" w:rsidRPr="00DE11D8">
        <w:t xml:space="preserve"> </w:t>
      </w:r>
      <w:r w:rsidRPr="00DE11D8">
        <w:t>trabajadoras sexuales, entre otras.</w:t>
      </w:r>
    </w:p>
    <w:p w14:paraId="3989D51D" w14:textId="77777777" w:rsidR="002B7844" w:rsidRPr="00DE11D8" w:rsidRDefault="002B7844" w:rsidP="002B7844">
      <w:pPr>
        <w:pStyle w:val="Piedepgina"/>
        <w:jc w:val="both"/>
      </w:pPr>
    </w:p>
    <w:p w14:paraId="6245F621" w14:textId="581751B4" w:rsidR="002B7844" w:rsidRPr="00DE11D8" w:rsidRDefault="002B7844" w:rsidP="002B7844">
      <w:pPr>
        <w:pStyle w:val="Piedepgina"/>
        <w:jc w:val="both"/>
      </w:pPr>
      <w:r w:rsidRPr="00DE11D8">
        <w:rPr>
          <w:b/>
          <w:bCs/>
        </w:rPr>
        <w:lastRenderedPageBreak/>
        <w:t xml:space="preserve">n) Tratamiento profiláctico </w:t>
      </w:r>
      <w:proofErr w:type="spellStart"/>
      <w:r w:rsidRPr="00DE11D8">
        <w:rPr>
          <w:b/>
          <w:bCs/>
        </w:rPr>
        <w:t>post-exposición</w:t>
      </w:r>
      <w:proofErr w:type="spellEnd"/>
      <w:r w:rsidRPr="00DE11D8">
        <w:rPr>
          <w:b/>
          <w:bCs/>
        </w:rPr>
        <w:t>:</w:t>
      </w:r>
      <w:r w:rsidRPr="00DE11D8">
        <w:t xml:space="preserve"> Se refiere al manejo terapéutico farmacológico y otras</w:t>
      </w:r>
      <w:r w:rsidR="00156FF1" w:rsidRPr="00DE11D8">
        <w:t xml:space="preserve"> </w:t>
      </w:r>
      <w:r w:rsidRPr="00DE11D8">
        <w:t>medidas,</w:t>
      </w:r>
      <w:r w:rsidR="00156FF1" w:rsidRPr="00DE11D8">
        <w:t xml:space="preserve"> </w:t>
      </w:r>
      <w:r w:rsidRPr="00DE11D8">
        <w:t>encaminadas a reducir la probabilidad de que la personas expuestas ante las ITS, el VIH o</w:t>
      </w:r>
      <w:r w:rsidR="00156FF1" w:rsidRPr="00DE11D8">
        <w:t xml:space="preserve"> </w:t>
      </w:r>
      <w:r w:rsidRPr="00DE11D8">
        <w:t>la Hepatitis B, contraigan dichas infecciones.</w:t>
      </w:r>
    </w:p>
    <w:p w14:paraId="593110AF" w14:textId="4A59E237" w:rsidR="002B7844" w:rsidRDefault="002B7844" w:rsidP="002B7844">
      <w:pPr>
        <w:pStyle w:val="Piedepgina"/>
        <w:jc w:val="both"/>
        <w:rPr>
          <w:sz w:val="20"/>
          <w:szCs w:val="20"/>
        </w:rPr>
      </w:pPr>
    </w:p>
    <w:p w14:paraId="5E938E92" w14:textId="77777777" w:rsidR="002B7844" w:rsidRPr="002B7844" w:rsidRDefault="002B7844" w:rsidP="00AA2753">
      <w:pPr>
        <w:pStyle w:val="Ttulo1"/>
      </w:pPr>
      <w:bookmarkStart w:id="3" w:name="_Toc84920663"/>
      <w:r w:rsidRPr="002B7844">
        <w:t>4. METODOLOGÍA.</w:t>
      </w:r>
      <w:bookmarkEnd w:id="3"/>
    </w:p>
    <w:p w14:paraId="5DD151ED" w14:textId="77777777" w:rsidR="002B7844" w:rsidRPr="00DE11D8" w:rsidRDefault="002B7844" w:rsidP="002B7844">
      <w:pPr>
        <w:pStyle w:val="Piedepgina"/>
        <w:jc w:val="both"/>
      </w:pPr>
      <w:r w:rsidRPr="00DE11D8">
        <w:t>Para elaborar el presente documento, se realizó una revisión documental de la literatura y de las</w:t>
      </w:r>
    </w:p>
    <w:p w14:paraId="75482D3F" w14:textId="4C9BF501" w:rsidR="002B7844" w:rsidRPr="00DE11D8" w:rsidRDefault="002B7844" w:rsidP="002B7844">
      <w:pPr>
        <w:pStyle w:val="Piedepgina"/>
        <w:jc w:val="both"/>
      </w:pPr>
      <w:r w:rsidRPr="00DE11D8">
        <w:t>recomendaciones más relevantes y actualizadas de la literatura hasta el año 2015:</w:t>
      </w:r>
    </w:p>
    <w:p w14:paraId="1718A8AB" w14:textId="77777777" w:rsidR="00C07DBD" w:rsidRPr="00DE11D8" w:rsidRDefault="00C07DBD" w:rsidP="00C07DBD">
      <w:pPr>
        <w:pStyle w:val="Piedepgina"/>
        <w:jc w:val="both"/>
      </w:pPr>
    </w:p>
    <w:p w14:paraId="395690CE" w14:textId="1EB8155F" w:rsidR="00C07DBD" w:rsidRPr="00DE11D8" w:rsidRDefault="00C07DBD" w:rsidP="00C07DBD">
      <w:pPr>
        <w:pStyle w:val="Piedepgina"/>
        <w:jc w:val="both"/>
      </w:pPr>
      <w:r w:rsidRPr="00DE11D8">
        <w:t>1. Guía para el manejo del VIH/sida. Basada en la evidencia. Colombia 2006.</w:t>
      </w:r>
    </w:p>
    <w:p w14:paraId="48FDFF62" w14:textId="77777777" w:rsidR="00C07DBD" w:rsidRPr="00DE11D8" w:rsidRDefault="00C07DBD" w:rsidP="00C07DBD">
      <w:pPr>
        <w:pStyle w:val="Piedepgina"/>
        <w:jc w:val="both"/>
      </w:pPr>
      <w:r w:rsidRPr="00DE11D8">
        <w:t>https://www.minsalud.gov.co/Documentos%20y%20Publicaciones/GUIA%20PARA%20EL%20MANEJ</w:t>
      </w:r>
    </w:p>
    <w:p w14:paraId="533B368E" w14:textId="77777777" w:rsidR="00C07DBD" w:rsidRPr="00DE11D8" w:rsidRDefault="00C07DBD" w:rsidP="00C07DBD">
      <w:pPr>
        <w:pStyle w:val="Piedepgina"/>
        <w:jc w:val="both"/>
      </w:pPr>
      <w:r w:rsidRPr="00DE11D8">
        <w:t>O%20DE%20VIH%20SIDA.pdf</w:t>
      </w:r>
    </w:p>
    <w:p w14:paraId="421ACE94" w14:textId="77777777" w:rsidR="00C07DBD" w:rsidRPr="00DE11D8" w:rsidRDefault="00C07DBD" w:rsidP="00C07DBD">
      <w:pPr>
        <w:pStyle w:val="Piedepgina"/>
        <w:jc w:val="both"/>
      </w:pPr>
    </w:p>
    <w:p w14:paraId="638AB5D6" w14:textId="58A7B65E" w:rsidR="00C07DBD" w:rsidRPr="00DE11D8" w:rsidRDefault="00C07DBD" w:rsidP="00C07DBD">
      <w:pPr>
        <w:pStyle w:val="Piedepgina"/>
        <w:jc w:val="both"/>
      </w:pPr>
      <w:r w:rsidRPr="00DE11D8">
        <w:t>2. Guía de práctica clínica (GPC) basada en la evidencia. GPC-2014-39. Ministerio de Salud y Protección Social Colombia</w:t>
      </w:r>
    </w:p>
    <w:p w14:paraId="3FF6A0C4" w14:textId="6F4DABD8" w:rsidR="00C07DBD" w:rsidRPr="00DE11D8" w:rsidRDefault="00C07DBD" w:rsidP="00C07DBD">
      <w:pPr>
        <w:pStyle w:val="Piedepgina"/>
        <w:jc w:val="both"/>
      </w:pPr>
      <w:r w:rsidRPr="00DE11D8">
        <w:t>2014.https://www.minsalud.gov.co/sites/rid/Paginas/results_advanced.aspx?u=https%3A%2F%2Fwww%2Eminsalud%2Egov%2Eco%2Fsites%2Frid&amp;k=GPC%20VIH.</w:t>
      </w:r>
    </w:p>
    <w:p w14:paraId="0D7F2FAE" w14:textId="77777777" w:rsidR="00C07DBD" w:rsidRPr="00DE11D8" w:rsidRDefault="00C07DBD" w:rsidP="00C07DBD">
      <w:pPr>
        <w:pStyle w:val="Piedepgina"/>
        <w:jc w:val="both"/>
      </w:pPr>
    </w:p>
    <w:p w14:paraId="73825DFC" w14:textId="1973E0AE" w:rsidR="00C07DBD" w:rsidRPr="00DE11D8" w:rsidRDefault="00C07DBD" w:rsidP="00C07DBD">
      <w:pPr>
        <w:pStyle w:val="Piedepgina"/>
        <w:jc w:val="both"/>
        <w:rPr>
          <w:lang w:val="en-US"/>
        </w:rPr>
      </w:pPr>
      <w:r w:rsidRPr="00DE11D8">
        <w:rPr>
          <w:lang w:val="en-US"/>
        </w:rPr>
        <w:t>3. The Expert Advisory Group on AIDS (EAGA) provides advice to the Chief Medical Officers of the health</w:t>
      </w:r>
    </w:p>
    <w:p w14:paraId="6B5C8421" w14:textId="77777777" w:rsidR="00C07DBD" w:rsidRPr="00DE11D8" w:rsidRDefault="00C07DBD" w:rsidP="00C07DBD">
      <w:pPr>
        <w:pStyle w:val="Piedepgina"/>
        <w:jc w:val="both"/>
        <w:rPr>
          <w:lang w:val="en-US"/>
        </w:rPr>
      </w:pPr>
      <w:r w:rsidRPr="00DE11D8">
        <w:rPr>
          <w:lang w:val="en-US"/>
        </w:rPr>
        <w:t>departments of the United Kingdom on matters relating to HIV/AIDS.</w:t>
      </w:r>
    </w:p>
    <w:p w14:paraId="5745E24B" w14:textId="77777777" w:rsidR="00C07DBD" w:rsidRPr="00DE11D8" w:rsidRDefault="00C07DBD" w:rsidP="00C07DBD">
      <w:pPr>
        <w:pStyle w:val="Piedepgina"/>
        <w:jc w:val="both"/>
        <w:rPr>
          <w:lang w:val="en-US"/>
        </w:rPr>
      </w:pPr>
      <w:r w:rsidRPr="00DE11D8">
        <w:rPr>
          <w:lang w:val="en-US"/>
        </w:rPr>
        <w:t>Change to recommended regimen for post-exposure prophylaxis (PEP). Sept 2014.</w:t>
      </w:r>
    </w:p>
    <w:p w14:paraId="2F073E46" w14:textId="77777777" w:rsidR="00C07DBD" w:rsidRPr="00DE11D8" w:rsidRDefault="00C07DBD" w:rsidP="00C07DBD">
      <w:pPr>
        <w:pStyle w:val="Piedepgina"/>
        <w:jc w:val="both"/>
        <w:rPr>
          <w:lang w:val="en-US"/>
        </w:rPr>
      </w:pPr>
      <w:r w:rsidRPr="00DE11D8">
        <w:rPr>
          <w:lang w:val="en-US"/>
        </w:rPr>
        <w:t>https://www.gov.uk/government/publications/eaga-guidance-on-hiv-post-exposure-prophylaxis</w:t>
      </w:r>
    </w:p>
    <w:p w14:paraId="4C8B7FF1" w14:textId="77777777" w:rsidR="00C07DBD" w:rsidRPr="00DE11D8" w:rsidRDefault="00C07DBD" w:rsidP="00C07DBD">
      <w:pPr>
        <w:pStyle w:val="Piedepgina"/>
        <w:jc w:val="both"/>
        <w:rPr>
          <w:lang w:val="en-US"/>
        </w:rPr>
      </w:pPr>
    </w:p>
    <w:p w14:paraId="43ECD3E7" w14:textId="6354F017" w:rsidR="00C07DBD" w:rsidRPr="00DE11D8" w:rsidRDefault="00C07DBD" w:rsidP="00C07DBD">
      <w:pPr>
        <w:pStyle w:val="Piedepgina"/>
        <w:jc w:val="both"/>
      </w:pPr>
      <w:r w:rsidRPr="00DE11D8">
        <w:t xml:space="preserve">4. Documento de Consenso sobre Profilaxis </w:t>
      </w:r>
      <w:proofErr w:type="spellStart"/>
      <w:r w:rsidRPr="00DE11D8">
        <w:t>postexposición</w:t>
      </w:r>
      <w:proofErr w:type="spellEnd"/>
      <w:r w:rsidRPr="00DE11D8">
        <w:t xml:space="preserve"> ocupacional y no ocupacional en relación con</w:t>
      </w:r>
    </w:p>
    <w:p w14:paraId="6F8A21E7" w14:textId="77777777" w:rsidR="00C07DBD" w:rsidRPr="00DE11D8" w:rsidRDefault="00C07DBD" w:rsidP="00C07DBD">
      <w:pPr>
        <w:pStyle w:val="Piedepgina"/>
        <w:jc w:val="both"/>
      </w:pPr>
      <w:r w:rsidRPr="00DE11D8">
        <w:t>el VIH, VHB y VHC en adultos y niños.(Marzo 2015) . http://www.gesidaseimc.</w:t>
      </w:r>
    </w:p>
    <w:p w14:paraId="214384B8" w14:textId="77777777" w:rsidR="00C07DBD" w:rsidRPr="00DE11D8" w:rsidRDefault="00C07DBD" w:rsidP="00C07DBD">
      <w:pPr>
        <w:pStyle w:val="Piedepgina"/>
        <w:jc w:val="both"/>
      </w:pPr>
      <w:r w:rsidRPr="00DE11D8">
        <w:t>org/contenidos/guiasclinicas/2015/gesida-guiasclinicas-2015-Profilaxispostexposicion-VIH-VHCVHB.</w:t>
      </w:r>
    </w:p>
    <w:p w14:paraId="1612FAD6" w14:textId="36474C9A" w:rsidR="002B7844" w:rsidRPr="00C0484C" w:rsidRDefault="00C07DBD" w:rsidP="00C07DBD">
      <w:pPr>
        <w:pStyle w:val="Piedepgina"/>
        <w:jc w:val="both"/>
        <w:rPr>
          <w:sz w:val="20"/>
          <w:szCs w:val="20"/>
          <w:lang w:val="en-US"/>
        </w:rPr>
      </w:pPr>
      <w:r w:rsidRPr="00C0484C">
        <w:rPr>
          <w:sz w:val="20"/>
          <w:szCs w:val="20"/>
          <w:lang w:val="en-US"/>
        </w:rPr>
        <w:t>pdf</w:t>
      </w:r>
    </w:p>
    <w:p w14:paraId="235218EB" w14:textId="10B2B572" w:rsidR="00C07DBD" w:rsidRPr="00DE11D8" w:rsidRDefault="00C07DBD" w:rsidP="00C07DBD">
      <w:pPr>
        <w:jc w:val="both"/>
        <w:rPr>
          <w:lang w:val="en-US"/>
        </w:rPr>
      </w:pPr>
      <w:r w:rsidRPr="00DE11D8">
        <w:rPr>
          <w:lang w:val="en-US"/>
        </w:rPr>
        <w:t>5. The New York State Department of Health AIDS Institute. Updated .</w:t>
      </w:r>
    </w:p>
    <w:p w14:paraId="5C29FAB4" w14:textId="5CB39651" w:rsidR="00C07DBD" w:rsidRPr="00DE11D8" w:rsidRDefault="00C07DBD" w:rsidP="00AA2753">
      <w:pPr>
        <w:jc w:val="both"/>
        <w:rPr>
          <w:lang w:val="en-US"/>
        </w:rPr>
      </w:pPr>
      <w:r w:rsidRPr="00DE11D8">
        <w:rPr>
          <w:lang w:val="en-US"/>
        </w:rPr>
        <w:t>http://www.hivguidelines.org/clinical-guidelines/post-exposure-prophylaxis/. Adults: Oct 2014. Children</w:t>
      </w:r>
      <w:r w:rsidR="00B06C31" w:rsidRPr="00DE11D8">
        <w:rPr>
          <w:lang w:val="en-US"/>
        </w:rPr>
        <w:t xml:space="preserve"> </w:t>
      </w:r>
      <w:r w:rsidR="00AA2753" w:rsidRPr="00DE11D8">
        <w:rPr>
          <w:lang w:val="en-US"/>
        </w:rPr>
        <w:t xml:space="preserve"> </w:t>
      </w:r>
      <w:r w:rsidRPr="00DE11D8">
        <w:rPr>
          <w:lang w:val="en-US"/>
        </w:rPr>
        <w:t>Jun 2010</w:t>
      </w:r>
    </w:p>
    <w:p w14:paraId="156AE47E" w14:textId="77777777" w:rsidR="00B06C31" w:rsidRPr="00DE11D8" w:rsidRDefault="00C07DBD" w:rsidP="00C07DBD">
      <w:pPr>
        <w:jc w:val="both"/>
        <w:rPr>
          <w:lang w:val="en-US"/>
        </w:rPr>
      </w:pPr>
      <w:r w:rsidRPr="00DE11D8">
        <w:rPr>
          <w:lang w:val="en-US"/>
        </w:rPr>
        <w:t xml:space="preserve">6. OMS. Guidelines on post-exposure prophylaxis for HIV and the use of co-trimoxazole prophylaxis for HIV-related infections among adults, </w:t>
      </w:r>
      <w:proofErr w:type="gramStart"/>
      <w:r w:rsidRPr="00DE11D8">
        <w:rPr>
          <w:lang w:val="en-US"/>
        </w:rPr>
        <w:t>adolescents</w:t>
      </w:r>
      <w:proofErr w:type="gramEnd"/>
      <w:r w:rsidRPr="00DE11D8">
        <w:rPr>
          <w:lang w:val="en-US"/>
        </w:rPr>
        <w:t xml:space="preserve"> and children Recommendations for a public health approach - December 2014 supplement to the 2013 consolidated</w:t>
      </w:r>
      <w:r w:rsidR="00B06C31" w:rsidRPr="00DE11D8">
        <w:rPr>
          <w:lang w:val="en-US"/>
        </w:rPr>
        <w:t xml:space="preserve"> </w:t>
      </w:r>
    </w:p>
    <w:p w14:paraId="365ECCFB" w14:textId="610B9BF5" w:rsidR="00C07DBD" w:rsidRPr="00DE11D8" w:rsidRDefault="00C07DBD" w:rsidP="00C07DBD">
      <w:pPr>
        <w:jc w:val="both"/>
        <w:rPr>
          <w:lang w:val="en-US"/>
        </w:rPr>
      </w:pPr>
      <w:r w:rsidRPr="00DE11D8">
        <w:rPr>
          <w:lang w:val="en-US"/>
        </w:rPr>
        <w:t>ARV guidelines 27 November 2014.</w:t>
      </w:r>
    </w:p>
    <w:p w14:paraId="6DEA7FB0" w14:textId="26CDFE3D" w:rsidR="00C07DBD" w:rsidRPr="00DE11D8" w:rsidRDefault="00EF7735" w:rsidP="00C07DBD">
      <w:pPr>
        <w:jc w:val="both"/>
        <w:rPr>
          <w:lang w:val="en-US"/>
        </w:rPr>
      </w:pPr>
      <w:hyperlink r:id="rId8" w:history="1">
        <w:r w:rsidR="00C07DBD" w:rsidRPr="00DE11D8">
          <w:rPr>
            <w:rStyle w:val="Hipervnculo"/>
            <w:lang w:val="en-US"/>
          </w:rPr>
          <w:t>http://www.who.int/hiv/pub/guidelines/arv2013/arvs2013upplement_dec2014/en/</w:t>
        </w:r>
      </w:hyperlink>
    </w:p>
    <w:p w14:paraId="61A7F667" w14:textId="51566218" w:rsidR="00C07DBD" w:rsidRPr="00DE11D8" w:rsidRDefault="00C07DBD" w:rsidP="00C07DBD">
      <w:pPr>
        <w:jc w:val="both"/>
      </w:pPr>
      <w:r w:rsidRPr="00DE11D8">
        <w:lastRenderedPageBreak/>
        <w:t>7. Guía de Práctica Clínica para el abordaje sindrómico del diagnóstico y tratamiento de los pacientes con infecciones de transmisión sexual y otras infecciones del tracto genital. Guía No. 16. Ministerio de Salud y Protección Social – Colciencias.</w:t>
      </w:r>
    </w:p>
    <w:p w14:paraId="57D6E1F7" w14:textId="74630EBA" w:rsidR="00C07DBD" w:rsidRPr="00DE11D8" w:rsidRDefault="00EF7735" w:rsidP="00C07DBD">
      <w:pPr>
        <w:jc w:val="both"/>
      </w:pPr>
      <w:hyperlink r:id="rId9" w:history="1">
        <w:r w:rsidR="00C07DBD" w:rsidRPr="00DE11D8">
          <w:rPr>
            <w:rStyle w:val="Hipervnculo"/>
          </w:rPr>
          <w:t>https://www.minsalud.gov.co/sites/rid/Lists/BibliotecaDigital/RIDE/INEC/IETS/GPC_Comple_ITS.pdf</w:t>
        </w:r>
      </w:hyperlink>
    </w:p>
    <w:p w14:paraId="47888BF3" w14:textId="709A9723" w:rsidR="00C07DBD" w:rsidRPr="00DE11D8" w:rsidRDefault="00C07DBD" w:rsidP="00C07DBD">
      <w:pPr>
        <w:jc w:val="both"/>
      </w:pPr>
      <w:r w:rsidRPr="00DE11D8">
        <w:t>La técnica del grupo nominal es una metodología en la cual el facilitador lleva a un grupo hacia el consenso a través de rondas sucesivas entre ellos, de análisis y definición de recomendaciones mediante el debate y la discusión, que lleva a un grado de acuerdo. El método mejora el proceso de toma de decisiones, mediante la motivación a todos los miembros del equipo para contribuir con sus opiniones, lo que facilita el juicio colectivo.</w:t>
      </w:r>
    </w:p>
    <w:p w14:paraId="31E3D425" w14:textId="0165D334" w:rsidR="00C07DBD" w:rsidRPr="00DE11D8" w:rsidRDefault="00C07DBD" w:rsidP="00C07DBD">
      <w:pPr>
        <w:jc w:val="both"/>
      </w:pPr>
      <w:r w:rsidRPr="00DE11D8">
        <w:t>Se conformó un grupo de expertos en: calidad de servicios, en desarrollo de Guías de práctica clínica, infectología, epidemiología, atención a personas que viven con el Virus de la Inmunodeficiencia Humana (VIH) y otras Infecciones de Transmisión Sexual (ITS), ginecología, pediatría y medicina de urgencias, con especial experiencia en el manejo de las ITS, el VIH y la Hepatitis B, quienes aceptaron la invitación en una forma altruista y voluntaria y declararon no tener conflicto de intereses.</w:t>
      </w:r>
    </w:p>
    <w:p w14:paraId="3D871A6A" w14:textId="6121CC1E" w:rsidR="00B06C31" w:rsidRPr="00DE11D8" w:rsidRDefault="00B06C31" w:rsidP="00B06C31">
      <w:pPr>
        <w:jc w:val="both"/>
      </w:pPr>
      <w:r w:rsidRPr="00DE11D8">
        <w:t>Previamente a la reunión, se enviaron por correo electrónico los documentos de evidencia científica más relevantes y la descripción de la metodología de trabajo a desarrollar presencialmente.</w:t>
      </w:r>
    </w:p>
    <w:p w14:paraId="47044CF2" w14:textId="68A08F56" w:rsidR="00B06C31" w:rsidRPr="00DE11D8" w:rsidRDefault="00B06C31" w:rsidP="00B06C31">
      <w:pPr>
        <w:jc w:val="both"/>
      </w:pPr>
      <w:r w:rsidRPr="00DE11D8">
        <w:t>Durante la jornada de trabajo del Grupo nominal se discutieron las siguientes preguntas:</w:t>
      </w:r>
    </w:p>
    <w:p w14:paraId="790375B5" w14:textId="77777777" w:rsidR="00B06C31" w:rsidRPr="00DE11D8" w:rsidRDefault="00B06C31" w:rsidP="00B06C31">
      <w:pPr>
        <w:jc w:val="both"/>
      </w:pPr>
      <w:r w:rsidRPr="00DE11D8">
        <w:t>gestantes o no, con exposición ocupacional y no ocupacional de riesgo al VIH.?</w:t>
      </w:r>
    </w:p>
    <w:p w14:paraId="4A2EA079" w14:textId="69E0B202" w:rsidR="00B06C31" w:rsidRPr="00DE11D8" w:rsidRDefault="00B06C31" w:rsidP="00B06C31">
      <w:pPr>
        <w:jc w:val="both"/>
      </w:pPr>
      <w:r w:rsidRPr="00DE11D8">
        <w:t xml:space="preserve">b) ¿Cuál es la mejor intervención farmacológica de profilaxis para </w:t>
      </w:r>
      <w:proofErr w:type="gramStart"/>
      <w:r w:rsidRPr="00DE11D8">
        <w:t>niños y niñas</w:t>
      </w:r>
      <w:proofErr w:type="gramEnd"/>
      <w:r w:rsidRPr="00DE11D8">
        <w:t>, con exposición de riesgo</w:t>
      </w:r>
      <w:r w:rsidR="004D342D" w:rsidRPr="00DE11D8">
        <w:t xml:space="preserve"> </w:t>
      </w:r>
      <w:r w:rsidRPr="00DE11D8">
        <w:t xml:space="preserve">al VIH por transmisión </w:t>
      </w:r>
      <w:r w:rsidR="004D342D" w:rsidRPr="00DE11D8">
        <w:t>vertical?</w:t>
      </w:r>
    </w:p>
    <w:p w14:paraId="1B1C3F41" w14:textId="38BBB5CF" w:rsidR="00B06C31" w:rsidRPr="00DE11D8" w:rsidRDefault="00B06C31" w:rsidP="00B06C31">
      <w:pPr>
        <w:jc w:val="both"/>
      </w:pPr>
      <w:r w:rsidRPr="00DE11D8">
        <w:t>c) ¿Cuál es la mejor intervención farmacológica de profilaxis para personas adolescentes o adultas,</w:t>
      </w:r>
      <w:r w:rsidR="004D342D" w:rsidRPr="00DE11D8">
        <w:t xml:space="preserve"> </w:t>
      </w:r>
      <w:r w:rsidRPr="00DE11D8">
        <w:t xml:space="preserve">gestantes o no, con exposición de riesgo las </w:t>
      </w:r>
      <w:r w:rsidR="004D342D" w:rsidRPr="00DE11D8">
        <w:t>ITS?</w:t>
      </w:r>
    </w:p>
    <w:p w14:paraId="701A5512" w14:textId="69C0E9CC" w:rsidR="00B06C31" w:rsidRPr="00DE11D8" w:rsidRDefault="00B06C31" w:rsidP="00B06C31">
      <w:pPr>
        <w:jc w:val="both"/>
      </w:pPr>
      <w:r w:rsidRPr="00DE11D8">
        <w:t xml:space="preserve">d) </w:t>
      </w:r>
      <w:r w:rsidR="004D342D" w:rsidRPr="00DE11D8">
        <w:t xml:space="preserve">¿Cuál es la mejor intervención farmacológica de profilaxis para </w:t>
      </w:r>
      <w:proofErr w:type="gramStart"/>
      <w:r w:rsidR="004D342D" w:rsidRPr="00DE11D8">
        <w:t>niños y niñas</w:t>
      </w:r>
      <w:proofErr w:type="gramEnd"/>
      <w:r w:rsidR="004D342D" w:rsidRPr="00DE11D8">
        <w:t>, con exposición de riesgo a las ITS?</w:t>
      </w:r>
      <w:r w:rsidRPr="00DE11D8">
        <w:t>?</w:t>
      </w:r>
    </w:p>
    <w:p w14:paraId="22C84804" w14:textId="0796374C" w:rsidR="00B06C31" w:rsidRPr="00DE11D8" w:rsidRDefault="00B06C31" w:rsidP="00B06C31">
      <w:pPr>
        <w:jc w:val="both"/>
      </w:pPr>
      <w:r w:rsidRPr="00DE11D8">
        <w:t xml:space="preserve">e) </w:t>
      </w:r>
      <w:r w:rsidR="004D342D" w:rsidRPr="00DE11D8">
        <w:t>¿Cuál es la mejor intervención farmacológica de profilaxis para personas adolescentes o adultas, gestantes o no, con exposición ocupacional o no ocupacional de riesgo al VHB?</w:t>
      </w:r>
      <w:r w:rsidRPr="00DE11D8">
        <w:t>?</w:t>
      </w:r>
    </w:p>
    <w:p w14:paraId="506D1553" w14:textId="351E8F47" w:rsidR="00B06C31" w:rsidRPr="00DE11D8" w:rsidRDefault="00B06C31" w:rsidP="00B06C31">
      <w:pPr>
        <w:jc w:val="both"/>
      </w:pPr>
      <w:r w:rsidRPr="00DE11D8">
        <w:t xml:space="preserve">f) </w:t>
      </w:r>
      <w:r w:rsidR="004D342D" w:rsidRPr="00DE11D8">
        <w:t xml:space="preserve">¿Cuál es la mejor intervención farmacológica de profilaxis para </w:t>
      </w:r>
      <w:proofErr w:type="gramStart"/>
      <w:r w:rsidR="004D342D" w:rsidRPr="00DE11D8">
        <w:t>niños y niñas</w:t>
      </w:r>
      <w:proofErr w:type="gramEnd"/>
      <w:r w:rsidR="004D342D" w:rsidRPr="00DE11D8">
        <w:t>, con exposición de riesgo al VHB?</w:t>
      </w:r>
      <w:r w:rsidRPr="00DE11D8">
        <w:t>?</w:t>
      </w:r>
    </w:p>
    <w:p w14:paraId="72A7BA6B" w14:textId="143A9F24" w:rsidR="00B06C31" w:rsidRPr="00DE11D8" w:rsidRDefault="00B06C31" w:rsidP="00B06C31">
      <w:pPr>
        <w:jc w:val="both"/>
      </w:pPr>
      <w:r w:rsidRPr="00DE11D8">
        <w:t>g) ¿Son los 13 años, la edad apropiada de corte entre niños, niñas, adolescentes y adultos?</w:t>
      </w:r>
    </w:p>
    <w:p w14:paraId="27F7F2DC" w14:textId="6E2CA009" w:rsidR="004D342D" w:rsidRPr="00DE11D8" w:rsidRDefault="004D342D" w:rsidP="00B06C31">
      <w:pPr>
        <w:jc w:val="both"/>
      </w:pPr>
    </w:p>
    <w:p w14:paraId="344AAA56" w14:textId="6DAE0291" w:rsidR="004D342D" w:rsidRPr="00DE11D8" w:rsidRDefault="004D342D" w:rsidP="004D342D">
      <w:pPr>
        <w:jc w:val="both"/>
      </w:pPr>
      <w:r w:rsidRPr="00DE11D8">
        <w:lastRenderedPageBreak/>
        <w:t>Guiados por matrices en Excel previamente formuladas, se realizaron votaciones para cada una de las preguntas aquí señaladas hasta lograr consenso en el grupo.</w:t>
      </w:r>
    </w:p>
    <w:p w14:paraId="4104695D" w14:textId="45ED46CF" w:rsidR="004D342D" w:rsidRPr="00DE11D8" w:rsidRDefault="004D342D" w:rsidP="004D342D">
      <w:pPr>
        <w:jc w:val="both"/>
      </w:pPr>
      <w:r w:rsidRPr="00DE11D8">
        <w:t>Posteriormente se volvió a consultar virtualmente el documento preliminar del protocolo hasta obtener la versión final y poder proceder a su publicación y socialización.</w:t>
      </w:r>
    </w:p>
    <w:p w14:paraId="3AC240E7" w14:textId="49409F41" w:rsidR="004D342D" w:rsidRDefault="004D342D" w:rsidP="004D342D">
      <w:pPr>
        <w:jc w:val="both"/>
        <w:rPr>
          <w:sz w:val="18"/>
          <w:szCs w:val="18"/>
        </w:rPr>
      </w:pPr>
    </w:p>
    <w:p w14:paraId="4F2A6970" w14:textId="33F7270C" w:rsidR="004D342D" w:rsidRDefault="004D342D" w:rsidP="00AA2753">
      <w:pPr>
        <w:pStyle w:val="Ttulo1"/>
      </w:pPr>
      <w:bookmarkStart w:id="4" w:name="_Toc84920664"/>
      <w:r w:rsidRPr="004D342D">
        <w:t>5. MANEJO MÉDICO DE LA EXPOSICIÓN LABORAL O NO LABORAL ANTE LAS ITS, VIH, VHB Y EL VHC.</w:t>
      </w:r>
      <w:bookmarkEnd w:id="4"/>
    </w:p>
    <w:p w14:paraId="2BA1CD14" w14:textId="62C60E73" w:rsidR="004D342D" w:rsidRDefault="004D342D" w:rsidP="00AA2753">
      <w:pPr>
        <w:pStyle w:val="Ttulo2"/>
      </w:pPr>
      <w:bookmarkStart w:id="5" w:name="_Toc84920665"/>
      <w:r w:rsidRPr="004D342D">
        <w:t>5.1 Caracterización de la exposición de riesgo laboral o no laboral</w:t>
      </w:r>
      <w:bookmarkEnd w:id="5"/>
    </w:p>
    <w:p w14:paraId="63254132" w14:textId="2A193EBD" w:rsidR="004D342D" w:rsidRPr="009B138C" w:rsidRDefault="004D342D" w:rsidP="004D342D">
      <w:pPr>
        <w:jc w:val="both"/>
      </w:pPr>
      <w:r w:rsidRPr="009B138C">
        <w:t>Se debe indagar información relacionada con: la caracterización de la persona expuesta (mayor o menor de 13 años, antecedentes médicos y de vacunación, gestante o no gestante), características de la fuente (conocido, desconocido frente al VIH, VHB y VHC, tratamiento que recibe), mecanismo de exposición, datos del tipo de fluido de contacto, antecedentes de vacunación de la persona expuesta, respuesta inmunológica a la vacunación, tiempo de evolución de la exposición en horas y minutos.</w:t>
      </w:r>
    </w:p>
    <w:p w14:paraId="3D9D7D85" w14:textId="02EAC674" w:rsidR="004D342D" w:rsidRPr="009B138C" w:rsidRDefault="004D342D" w:rsidP="004D342D">
      <w:pPr>
        <w:jc w:val="both"/>
      </w:pPr>
      <w:r w:rsidRPr="009B138C">
        <w:t>Para tomar la decisión de inicio de la Profilaxis se deben tener en cuenta aspectos relevantes relacionados con las características de la fuente, tipo de mecanismo de exposición, fluidos a que ha sido expuesta la persona, antecedentes de vacunación de la persona expuesta, tiempo transcurrido desde la exposición de riesgo.</w:t>
      </w:r>
    </w:p>
    <w:p w14:paraId="25889E0C" w14:textId="141848C1" w:rsidR="004D342D" w:rsidRPr="009B138C" w:rsidRDefault="004D342D" w:rsidP="004D342D">
      <w:pPr>
        <w:jc w:val="both"/>
      </w:pPr>
      <w:r w:rsidRPr="009B138C">
        <w:t>No existe una profilaxis efectiva frente al VHC, pues la cinética viral demuestra que para que el tratamiento sea eficaz, debe haber ya una infección establecida. Por eso, es importante el seguimiento de estos pacientes para poder diagnosticar cuanto antes una posible infección aguda por el VHC, en cuyo caso el tratamiento puede ser más eficaz.</w:t>
      </w:r>
    </w:p>
    <w:p w14:paraId="02ABE2DE" w14:textId="73841ED0" w:rsidR="004D342D" w:rsidRPr="009B138C" w:rsidRDefault="004D342D" w:rsidP="004D342D">
      <w:pPr>
        <w:jc w:val="both"/>
      </w:pPr>
      <w:r w:rsidRPr="009B138C">
        <w:t>Los antecedentes que deben conocerse en cada caso pueden resumirse de la siguiente manera:</w:t>
      </w:r>
    </w:p>
    <w:p w14:paraId="2E9F101E" w14:textId="5CC82C5B" w:rsidR="005E1226" w:rsidRDefault="005E1226" w:rsidP="004D342D">
      <w:pPr>
        <w:jc w:val="both"/>
        <w:rPr>
          <w:sz w:val="18"/>
          <w:szCs w:val="18"/>
        </w:rPr>
      </w:pPr>
    </w:p>
    <w:p w14:paraId="065A7BE6" w14:textId="77777777" w:rsidR="007D67EE" w:rsidRDefault="007D67EE" w:rsidP="004D342D">
      <w:pPr>
        <w:jc w:val="both"/>
        <w:rPr>
          <w:sz w:val="18"/>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4"/>
        <w:gridCol w:w="4404"/>
      </w:tblGrid>
      <w:tr w:rsidR="004D342D" w14:paraId="44B9D7D2" w14:textId="77777777" w:rsidTr="00451BBE">
        <w:tc>
          <w:tcPr>
            <w:tcW w:w="4414" w:type="dxa"/>
            <w:shd w:val="clear" w:color="auto" w:fill="C9C9C9" w:themeFill="accent3" w:themeFillTint="99"/>
          </w:tcPr>
          <w:p w14:paraId="3C367133" w14:textId="679859AE" w:rsidR="004D342D" w:rsidRDefault="004D342D" w:rsidP="004D342D">
            <w:pPr>
              <w:jc w:val="center"/>
              <w:rPr>
                <w:sz w:val="18"/>
                <w:szCs w:val="18"/>
              </w:rPr>
            </w:pPr>
            <w:r>
              <w:rPr>
                <w:rFonts w:ascii="Arial-BoldMT" w:hAnsi="Arial-BoldMT" w:cs="Arial-BoldMT"/>
                <w:b/>
                <w:bCs/>
                <w:sz w:val="18"/>
                <w:szCs w:val="18"/>
              </w:rPr>
              <w:t>Antecedentes</w:t>
            </w:r>
          </w:p>
        </w:tc>
        <w:tc>
          <w:tcPr>
            <w:tcW w:w="4414" w:type="dxa"/>
            <w:shd w:val="clear" w:color="auto" w:fill="C9C9C9" w:themeFill="accent3" w:themeFillTint="99"/>
          </w:tcPr>
          <w:p w14:paraId="0FA19410" w14:textId="68F05811" w:rsidR="004D342D" w:rsidRDefault="004D342D" w:rsidP="004D342D">
            <w:pPr>
              <w:jc w:val="center"/>
              <w:rPr>
                <w:sz w:val="18"/>
                <w:szCs w:val="18"/>
              </w:rPr>
            </w:pPr>
            <w:r>
              <w:rPr>
                <w:rFonts w:ascii="Arial-BoldMT" w:hAnsi="Arial-BoldMT" w:cs="Arial-BoldMT"/>
                <w:b/>
                <w:bCs/>
                <w:sz w:val="18"/>
                <w:szCs w:val="18"/>
              </w:rPr>
              <w:t>Descripción</w:t>
            </w:r>
          </w:p>
        </w:tc>
      </w:tr>
      <w:tr w:rsidR="004D342D" w14:paraId="4DEB7F3E" w14:textId="77777777" w:rsidTr="00451BBE">
        <w:tc>
          <w:tcPr>
            <w:tcW w:w="4414" w:type="dxa"/>
          </w:tcPr>
          <w:p w14:paraId="28995AFF" w14:textId="479E0F7E" w:rsidR="004D342D" w:rsidRPr="008365D9" w:rsidRDefault="004D342D" w:rsidP="008365D9">
            <w:pPr>
              <w:autoSpaceDE w:val="0"/>
              <w:autoSpaceDN w:val="0"/>
              <w:adjustRightInd w:val="0"/>
              <w:rPr>
                <w:rFonts w:ascii="Arial-BoldMT" w:hAnsi="Arial-BoldMT" w:cs="Arial-BoldMT"/>
                <w:b/>
                <w:bCs/>
                <w:sz w:val="18"/>
                <w:szCs w:val="18"/>
              </w:rPr>
            </w:pPr>
            <w:r>
              <w:rPr>
                <w:rFonts w:ascii="Arial-BoldMT" w:hAnsi="Arial-BoldMT" w:cs="Arial-BoldMT"/>
                <w:b/>
                <w:bCs/>
                <w:sz w:val="18"/>
                <w:szCs w:val="18"/>
              </w:rPr>
              <w:t>Datos de las características</w:t>
            </w:r>
            <w:r w:rsidR="008365D9">
              <w:rPr>
                <w:rFonts w:ascii="Arial-BoldMT" w:hAnsi="Arial-BoldMT" w:cs="Arial-BoldMT"/>
                <w:b/>
                <w:bCs/>
                <w:sz w:val="18"/>
                <w:szCs w:val="18"/>
              </w:rPr>
              <w:t xml:space="preserve"> </w:t>
            </w:r>
            <w:r>
              <w:rPr>
                <w:rFonts w:ascii="Arial-BoldMT" w:hAnsi="Arial-BoldMT" w:cs="Arial-BoldMT"/>
                <w:b/>
                <w:bCs/>
                <w:sz w:val="18"/>
                <w:szCs w:val="18"/>
              </w:rPr>
              <w:t>de la fuente</w:t>
            </w:r>
          </w:p>
        </w:tc>
        <w:tc>
          <w:tcPr>
            <w:tcW w:w="4414" w:type="dxa"/>
          </w:tcPr>
          <w:p w14:paraId="1CFEC629" w14:textId="77777777" w:rsidR="004D342D" w:rsidRPr="004D342D" w:rsidRDefault="004D342D" w:rsidP="004D342D">
            <w:pPr>
              <w:jc w:val="both"/>
              <w:rPr>
                <w:sz w:val="18"/>
                <w:szCs w:val="18"/>
              </w:rPr>
            </w:pPr>
            <w:r w:rsidRPr="004D342D">
              <w:rPr>
                <w:sz w:val="18"/>
                <w:szCs w:val="18"/>
              </w:rPr>
              <w:t>En la medida de las posibilidades, se debe conocer la situación serológica de la fuente</w:t>
            </w:r>
          </w:p>
          <w:p w14:paraId="1E44BBF6" w14:textId="7504D55A" w:rsidR="004D342D" w:rsidRDefault="004D342D" w:rsidP="004D342D">
            <w:pPr>
              <w:jc w:val="both"/>
              <w:rPr>
                <w:sz w:val="18"/>
                <w:szCs w:val="18"/>
              </w:rPr>
            </w:pPr>
            <w:r w:rsidRPr="004D342D">
              <w:rPr>
                <w:sz w:val="18"/>
                <w:szCs w:val="18"/>
              </w:rPr>
              <w:t>frente a las ITS, al VIH, el VHB y el VHC.</w:t>
            </w:r>
          </w:p>
        </w:tc>
      </w:tr>
      <w:tr w:rsidR="004D342D" w14:paraId="3C4CF933" w14:textId="77777777" w:rsidTr="00451BBE">
        <w:tc>
          <w:tcPr>
            <w:tcW w:w="4414" w:type="dxa"/>
          </w:tcPr>
          <w:p w14:paraId="5E7D542C" w14:textId="492F87FB" w:rsidR="004D342D" w:rsidRPr="008365D9" w:rsidRDefault="004D342D" w:rsidP="008365D9">
            <w:pPr>
              <w:autoSpaceDE w:val="0"/>
              <w:autoSpaceDN w:val="0"/>
              <w:adjustRightInd w:val="0"/>
              <w:rPr>
                <w:rFonts w:ascii="Arial-BoldMT" w:hAnsi="Arial-BoldMT" w:cs="Arial-BoldMT"/>
                <w:b/>
                <w:bCs/>
                <w:sz w:val="18"/>
                <w:szCs w:val="18"/>
              </w:rPr>
            </w:pPr>
            <w:r>
              <w:rPr>
                <w:rFonts w:ascii="Arial-BoldMT" w:hAnsi="Arial-BoldMT" w:cs="Arial-BoldMT"/>
                <w:b/>
                <w:bCs/>
                <w:sz w:val="18"/>
                <w:szCs w:val="18"/>
              </w:rPr>
              <w:t>Datos del tipo de mecanismo</w:t>
            </w:r>
            <w:r w:rsidR="008365D9">
              <w:rPr>
                <w:rFonts w:ascii="Arial-BoldMT" w:hAnsi="Arial-BoldMT" w:cs="Arial-BoldMT"/>
                <w:b/>
                <w:bCs/>
                <w:sz w:val="18"/>
                <w:szCs w:val="18"/>
              </w:rPr>
              <w:t xml:space="preserve"> </w:t>
            </w:r>
            <w:r>
              <w:rPr>
                <w:rFonts w:ascii="Arial-BoldMT" w:hAnsi="Arial-BoldMT" w:cs="Arial-BoldMT"/>
                <w:b/>
                <w:bCs/>
                <w:sz w:val="18"/>
                <w:szCs w:val="18"/>
              </w:rPr>
              <w:t>de exposición:</w:t>
            </w:r>
          </w:p>
        </w:tc>
        <w:tc>
          <w:tcPr>
            <w:tcW w:w="4414" w:type="dxa"/>
          </w:tcPr>
          <w:p w14:paraId="5B78A3EA" w14:textId="77777777" w:rsidR="004D342D" w:rsidRPr="004D342D" w:rsidRDefault="004D342D" w:rsidP="004D342D">
            <w:pPr>
              <w:jc w:val="both"/>
              <w:rPr>
                <w:sz w:val="18"/>
                <w:szCs w:val="18"/>
              </w:rPr>
            </w:pPr>
            <w:r w:rsidRPr="004D342D">
              <w:rPr>
                <w:sz w:val="18"/>
                <w:szCs w:val="18"/>
              </w:rPr>
              <w:t>Se requiere conocer si la exposición fue por punción percutánea, profundidad de la punción</w:t>
            </w:r>
          </w:p>
          <w:p w14:paraId="3E352F8F" w14:textId="77777777" w:rsidR="004D342D" w:rsidRPr="004D342D" w:rsidRDefault="004D342D" w:rsidP="004D342D">
            <w:pPr>
              <w:jc w:val="both"/>
              <w:rPr>
                <w:sz w:val="18"/>
                <w:szCs w:val="18"/>
              </w:rPr>
            </w:pPr>
            <w:r w:rsidRPr="004D342D">
              <w:rPr>
                <w:sz w:val="18"/>
                <w:szCs w:val="18"/>
              </w:rPr>
              <w:t>(a mayor profundidad, mayor riesgo), material que ocasionó la punción, tal como agujas</w:t>
            </w:r>
          </w:p>
          <w:p w14:paraId="09131659" w14:textId="196E5BD7" w:rsidR="004D342D" w:rsidRDefault="004D342D" w:rsidP="004D342D">
            <w:pPr>
              <w:jc w:val="both"/>
              <w:rPr>
                <w:sz w:val="18"/>
                <w:szCs w:val="18"/>
              </w:rPr>
            </w:pPr>
            <w:r w:rsidRPr="004D342D">
              <w:rPr>
                <w:sz w:val="18"/>
                <w:szCs w:val="18"/>
              </w:rPr>
              <w:t>huecas (mayor riesgo), agujas de sutura, bisturís u otros objetos corto-punzantes.</w:t>
            </w:r>
          </w:p>
        </w:tc>
      </w:tr>
      <w:tr w:rsidR="004D342D" w14:paraId="52440341" w14:textId="77777777" w:rsidTr="00451BBE">
        <w:tc>
          <w:tcPr>
            <w:tcW w:w="4414" w:type="dxa"/>
          </w:tcPr>
          <w:p w14:paraId="7000DB16" w14:textId="42591736" w:rsidR="004D342D" w:rsidRPr="008365D9" w:rsidRDefault="004D342D" w:rsidP="008365D9">
            <w:pPr>
              <w:autoSpaceDE w:val="0"/>
              <w:autoSpaceDN w:val="0"/>
              <w:adjustRightInd w:val="0"/>
              <w:rPr>
                <w:rFonts w:ascii="Arial-BoldMT" w:hAnsi="Arial-BoldMT" w:cs="Arial-BoldMT"/>
                <w:b/>
                <w:bCs/>
                <w:sz w:val="18"/>
                <w:szCs w:val="18"/>
              </w:rPr>
            </w:pPr>
            <w:r>
              <w:rPr>
                <w:rFonts w:ascii="Arial-BoldMT" w:hAnsi="Arial-BoldMT" w:cs="Arial-BoldMT"/>
                <w:b/>
                <w:bCs/>
                <w:sz w:val="18"/>
                <w:szCs w:val="18"/>
              </w:rPr>
              <w:t>Datos del tipo de fluido de</w:t>
            </w:r>
            <w:r w:rsidR="008365D9">
              <w:rPr>
                <w:rFonts w:ascii="Arial-BoldMT" w:hAnsi="Arial-BoldMT" w:cs="Arial-BoldMT"/>
                <w:b/>
                <w:bCs/>
                <w:sz w:val="18"/>
                <w:szCs w:val="18"/>
              </w:rPr>
              <w:t xml:space="preserve"> </w:t>
            </w:r>
            <w:r>
              <w:rPr>
                <w:rFonts w:ascii="Arial-BoldMT" w:hAnsi="Arial-BoldMT" w:cs="Arial-BoldMT"/>
                <w:b/>
                <w:bCs/>
                <w:sz w:val="18"/>
                <w:szCs w:val="18"/>
              </w:rPr>
              <w:t>contacto</w:t>
            </w:r>
          </w:p>
        </w:tc>
        <w:tc>
          <w:tcPr>
            <w:tcW w:w="4414" w:type="dxa"/>
          </w:tcPr>
          <w:p w14:paraId="6BE1D8B8" w14:textId="10F21736" w:rsidR="004D342D" w:rsidRDefault="004D342D" w:rsidP="004D342D">
            <w:pPr>
              <w:jc w:val="both"/>
              <w:rPr>
                <w:sz w:val="18"/>
                <w:szCs w:val="18"/>
              </w:rPr>
            </w:pPr>
            <w:r w:rsidRPr="004D342D">
              <w:rPr>
                <w:sz w:val="18"/>
                <w:szCs w:val="18"/>
              </w:rPr>
              <w:t>Determinar si se trata de un fluido potencialmente infectante o no.</w:t>
            </w:r>
          </w:p>
        </w:tc>
      </w:tr>
      <w:tr w:rsidR="004D342D" w14:paraId="5C4CA7A3" w14:textId="77777777" w:rsidTr="00451BBE">
        <w:tc>
          <w:tcPr>
            <w:tcW w:w="4414" w:type="dxa"/>
          </w:tcPr>
          <w:p w14:paraId="163DAA8F" w14:textId="2F345307" w:rsidR="004D342D" w:rsidRPr="008365D9" w:rsidRDefault="004D342D" w:rsidP="008365D9">
            <w:pPr>
              <w:autoSpaceDE w:val="0"/>
              <w:autoSpaceDN w:val="0"/>
              <w:adjustRightInd w:val="0"/>
              <w:rPr>
                <w:rFonts w:ascii="Arial-BoldMT" w:hAnsi="Arial-BoldMT" w:cs="Arial-BoldMT"/>
                <w:b/>
                <w:bCs/>
                <w:sz w:val="18"/>
                <w:szCs w:val="18"/>
              </w:rPr>
            </w:pPr>
            <w:r>
              <w:rPr>
                <w:rFonts w:ascii="Arial-BoldMT" w:hAnsi="Arial-BoldMT" w:cs="Arial-BoldMT"/>
                <w:b/>
                <w:bCs/>
                <w:sz w:val="18"/>
                <w:szCs w:val="18"/>
              </w:rPr>
              <w:lastRenderedPageBreak/>
              <w:t>Datos de vacunación de la</w:t>
            </w:r>
            <w:r w:rsidR="008365D9">
              <w:rPr>
                <w:rFonts w:ascii="Arial-BoldMT" w:hAnsi="Arial-BoldMT" w:cs="Arial-BoldMT"/>
                <w:b/>
                <w:bCs/>
                <w:sz w:val="18"/>
                <w:szCs w:val="18"/>
              </w:rPr>
              <w:t xml:space="preserve"> </w:t>
            </w:r>
            <w:r>
              <w:rPr>
                <w:rFonts w:ascii="Arial-BoldMT" w:hAnsi="Arial-BoldMT" w:cs="Arial-BoldMT"/>
                <w:b/>
                <w:bCs/>
                <w:sz w:val="18"/>
                <w:szCs w:val="18"/>
              </w:rPr>
              <w:t>persona expuesta con</w:t>
            </w:r>
            <w:r w:rsidR="008365D9">
              <w:rPr>
                <w:rFonts w:ascii="Arial-BoldMT" w:hAnsi="Arial-BoldMT" w:cs="Arial-BoldMT"/>
                <w:b/>
                <w:bCs/>
                <w:sz w:val="18"/>
                <w:szCs w:val="18"/>
              </w:rPr>
              <w:t xml:space="preserve"> </w:t>
            </w:r>
            <w:r>
              <w:rPr>
                <w:rFonts w:ascii="Arial-BoldMT" w:hAnsi="Arial-BoldMT" w:cs="Arial-BoldMT"/>
                <w:b/>
                <w:bCs/>
                <w:sz w:val="18"/>
                <w:szCs w:val="18"/>
              </w:rPr>
              <w:t>respecto a la Hepatitis B</w:t>
            </w:r>
          </w:p>
        </w:tc>
        <w:tc>
          <w:tcPr>
            <w:tcW w:w="4414" w:type="dxa"/>
          </w:tcPr>
          <w:p w14:paraId="2133D9EB" w14:textId="77777777" w:rsidR="004D342D" w:rsidRPr="004D342D" w:rsidRDefault="004D342D" w:rsidP="004D342D">
            <w:pPr>
              <w:jc w:val="both"/>
              <w:rPr>
                <w:sz w:val="18"/>
                <w:szCs w:val="18"/>
              </w:rPr>
            </w:pPr>
            <w:r w:rsidRPr="004D342D">
              <w:rPr>
                <w:sz w:val="18"/>
                <w:szCs w:val="18"/>
              </w:rPr>
              <w:t>Esquema de vacunación recibido y si es posible títulos de Anticuerpos contra Hepatitis B al</w:t>
            </w:r>
          </w:p>
          <w:p w14:paraId="56C4F089" w14:textId="5D3BD43A" w:rsidR="004D342D" w:rsidRDefault="004D342D" w:rsidP="004D342D">
            <w:pPr>
              <w:jc w:val="both"/>
              <w:rPr>
                <w:sz w:val="18"/>
                <w:szCs w:val="18"/>
              </w:rPr>
            </w:pPr>
            <w:r w:rsidRPr="004D342D">
              <w:rPr>
                <w:sz w:val="18"/>
                <w:szCs w:val="18"/>
              </w:rPr>
              <w:t>momento de la exposición.</w:t>
            </w:r>
          </w:p>
        </w:tc>
      </w:tr>
      <w:tr w:rsidR="004D342D" w14:paraId="4D31A8F2" w14:textId="77777777" w:rsidTr="00451BBE">
        <w:tc>
          <w:tcPr>
            <w:tcW w:w="4414" w:type="dxa"/>
          </w:tcPr>
          <w:p w14:paraId="0D1A333A" w14:textId="597E715A" w:rsidR="004D342D" w:rsidRDefault="004D342D" w:rsidP="004D342D">
            <w:pPr>
              <w:autoSpaceDE w:val="0"/>
              <w:autoSpaceDN w:val="0"/>
              <w:adjustRightInd w:val="0"/>
              <w:rPr>
                <w:rFonts w:ascii="Arial-BoldMT" w:hAnsi="Arial-BoldMT" w:cs="Arial-BoldMT"/>
                <w:b/>
                <w:bCs/>
                <w:sz w:val="18"/>
                <w:szCs w:val="18"/>
              </w:rPr>
            </w:pPr>
            <w:r>
              <w:rPr>
                <w:rFonts w:ascii="Arial-BoldMT" w:hAnsi="Arial-BoldMT" w:cs="Arial-BoldMT"/>
                <w:b/>
                <w:bCs/>
                <w:sz w:val="18"/>
                <w:szCs w:val="18"/>
              </w:rPr>
              <w:t>Datos sobre el tiempo</w:t>
            </w:r>
            <w:r w:rsidR="008365D9">
              <w:rPr>
                <w:rFonts w:ascii="Arial-BoldMT" w:hAnsi="Arial-BoldMT" w:cs="Arial-BoldMT"/>
                <w:b/>
                <w:bCs/>
                <w:sz w:val="18"/>
                <w:szCs w:val="18"/>
              </w:rPr>
              <w:t xml:space="preserve"> </w:t>
            </w:r>
            <w:r>
              <w:rPr>
                <w:rFonts w:ascii="Arial-BoldMT" w:hAnsi="Arial-BoldMT" w:cs="Arial-BoldMT"/>
                <w:b/>
                <w:bCs/>
                <w:sz w:val="18"/>
                <w:szCs w:val="18"/>
              </w:rPr>
              <w:t>transcurrido desde la</w:t>
            </w:r>
            <w:r w:rsidR="008365D9">
              <w:rPr>
                <w:rFonts w:ascii="Arial-BoldMT" w:hAnsi="Arial-BoldMT" w:cs="Arial-BoldMT"/>
                <w:b/>
                <w:bCs/>
                <w:sz w:val="18"/>
                <w:szCs w:val="18"/>
              </w:rPr>
              <w:t xml:space="preserve"> </w:t>
            </w:r>
            <w:r>
              <w:rPr>
                <w:rFonts w:ascii="Arial-BoldMT" w:hAnsi="Arial-BoldMT" w:cs="Arial-BoldMT"/>
                <w:b/>
                <w:bCs/>
                <w:sz w:val="18"/>
                <w:szCs w:val="18"/>
              </w:rPr>
              <w:t>exposición de riesgo</w:t>
            </w:r>
          </w:p>
        </w:tc>
        <w:tc>
          <w:tcPr>
            <w:tcW w:w="4414" w:type="dxa"/>
          </w:tcPr>
          <w:p w14:paraId="5E28BB4F" w14:textId="77777777" w:rsidR="004D342D" w:rsidRPr="004D342D" w:rsidRDefault="004D342D" w:rsidP="004D342D">
            <w:pPr>
              <w:jc w:val="both"/>
              <w:rPr>
                <w:sz w:val="18"/>
                <w:szCs w:val="18"/>
              </w:rPr>
            </w:pPr>
            <w:r w:rsidRPr="004D342D">
              <w:rPr>
                <w:sz w:val="18"/>
                <w:szCs w:val="18"/>
              </w:rPr>
              <w:t>El tiempo crucial para la administración de la profilaxis de las ITS, el VIH es de máximo 72</w:t>
            </w:r>
          </w:p>
          <w:p w14:paraId="5BA6AEBF" w14:textId="77777777" w:rsidR="004D342D" w:rsidRPr="004D342D" w:rsidRDefault="004D342D" w:rsidP="004D342D">
            <w:pPr>
              <w:jc w:val="both"/>
              <w:rPr>
                <w:sz w:val="18"/>
                <w:szCs w:val="18"/>
              </w:rPr>
            </w:pPr>
            <w:r w:rsidRPr="004D342D">
              <w:rPr>
                <w:sz w:val="18"/>
                <w:szCs w:val="18"/>
              </w:rPr>
              <w:t>horas o 3 días; para el caso de la anticoncepción de emergencia el límite de tiempo es 120</w:t>
            </w:r>
          </w:p>
          <w:p w14:paraId="248AC88E" w14:textId="77777777" w:rsidR="004D342D" w:rsidRPr="004D342D" w:rsidRDefault="004D342D" w:rsidP="004D342D">
            <w:pPr>
              <w:jc w:val="both"/>
              <w:rPr>
                <w:sz w:val="18"/>
                <w:szCs w:val="18"/>
              </w:rPr>
            </w:pPr>
            <w:r w:rsidRPr="004D342D">
              <w:rPr>
                <w:sz w:val="18"/>
                <w:szCs w:val="18"/>
              </w:rPr>
              <w:t>horas o 5 días, para la hepatitis B, la mayor efectividad se observa en la administración de</w:t>
            </w:r>
          </w:p>
          <w:p w14:paraId="7B3CAA07" w14:textId="77777777" w:rsidR="004D342D" w:rsidRPr="004D342D" w:rsidRDefault="004D342D" w:rsidP="004D342D">
            <w:pPr>
              <w:jc w:val="both"/>
              <w:rPr>
                <w:sz w:val="18"/>
                <w:szCs w:val="18"/>
              </w:rPr>
            </w:pPr>
            <w:r w:rsidRPr="004D342D">
              <w:rPr>
                <w:sz w:val="18"/>
                <w:szCs w:val="18"/>
              </w:rPr>
              <w:t>la profilaxis en las primeras 12 a 24 horas, pero para exposiciones percutáneas la</w:t>
            </w:r>
          </w:p>
          <w:p w14:paraId="6153C275" w14:textId="77777777" w:rsidR="004D342D" w:rsidRPr="004D342D" w:rsidRDefault="004D342D" w:rsidP="004D342D">
            <w:pPr>
              <w:jc w:val="both"/>
              <w:rPr>
                <w:sz w:val="18"/>
                <w:szCs w:val="18"/>
              </w:rPr>
            </w:pPr>
            <w:r w:rsidRPr="004D342D">
              <w:rPr>
                <w:sz w:val="18"/>
                <w:szCs w:val="18"/>
              </w:rPr>
              <w:t>gammaglobulina se puede aplicar hasta 7 días después de la exposición y para</w:t>
            </w:r>
          </w:p>
          <w:p w14:paraId="412BED0B" w14:textId="6557DC57" w:rsidR="004D342D" w:rsidRPr="004D342D" w:rsidRDefault="004D342D" w:rsidP="004D342D">
            <w:pPr>
              <w:jc w:val="both"/>
              <w:rPr>
                <w:sz w:val="18"/>
                <w:szCs w:val="18"/>
              </w:rPr>
            </w:pPr>
            <w:r w:rsidRPr="004D342D">
              <w:rPr>
                <w:sz w:val="18"/>
                <w:szCs w:val="18"/>
              </w:rPr>
              <w:t>exposiciones sexuales hasta 14 días después de la exposición.</w:t>
            </w:r>
          </w:p>
        </w:tc>
      </w:tr>
      <w:tr w:rsidR="004D342D" w14:paraId="02F2D7B8" w14:textId="77777777" w:rsidTr="00451BBE">
        <w:tc>
          <w:tcPr>
            <w:tcW w:w="4414" w:type="dxa"/>
          </w:tcPr>
          <w:p w14:paraId="56A58CC7" w14:textId="5B10DB08" w:rsidR="004D342D" w:rsidRDefault="005E1226" w:rsidP="005E1226">
            <w:pPr>
              <w:autoSpaceDE w:val="0"/>
              <w:autoSpaceDN w:val="0"/>
              <w:adjustRightInd w:val="0"/>
              <w:rPr>
                <w:rFonts w:ascii="Arial-BoldMT" w:hAnsi="Arial-BoldMT" w:cs="Arial-BoldMT"/>
                <w:b/>
                <w:bCs/>
                <w:sz w:val="18"/>
                <w:szCs w:val="18"/>
              </w:rPr>
            </w:pPr>
            <w:r>
              <w:rPr>
                <w:rFonts w:ascii="Arial-BoldMT" w:hAnsi="Arial-BoldMT" w:cs="Arial-BoldMT"/>
                <w:b/>
                <w:bCs/>
                <w:sz w:val="18"/>
                <w:szCs w:val="18"/>
              </w:rPr>
              <w:t>Análisis de la evaluación del</w:t>
            </w:r>
            <w:r w:rsidR="008365D9">
              <w:rPr>
                <w:rFonts w:ascii="Arial-BoldMT" w:hAnsi="Arial-BoldMT" w:cs="Arial-BoldMT"/>
                <w:b/>
                <w:bCs/>
                <w:sz w:val="18"/>
                <w:szCs w:val="18"/>
              </w:rPr>
              <w:t xml:space="preserve"> </w:t>
            </w:r>
            <w:r>
              <w:rPr>
                <w:rFonts w:ascii="Arial-BoldMT" w:hAnsi="Arial-BoldMT" w:cs="Arial-BoldMT"/>
                <w:b/>
                <w:bCs/>
                <w:sz w:val="18"/>
                <w:szCs w:val="18"/>
              </w:rPr>
              <w:t>riesgo ERBO / ERBNO</w:t>
            </w:r>
          </w:p>
        </w:tc>
        <w:tc>
          <w:tcPr>
            <w:tcW w:w="4414" w:type="dxa"/>
          </w:tcPr>
          <w:p w14:paraId="21EA61DA" w14:textId="77777777" w:rsidR="005E1226" w:rsidRPr="005E1226" w:rsidRDefault="005E1226" w:rsidP="005E1226">
            <w:pPr>
              <w:jc w:val="both"/>
              <w:rPr>
                <w:sz w:val="18"/>
                <w:szCs w:val="18"/>
              </w:rPr>
            </w:pPr>
            <w:r w:rsidRPr="005E1226">
              <w:rPr>
                <w:sz w:val="18"/>
                <w:szCs w:val="18"/>
              </w:rPr>
              <w:t xml:space="preserve">Cada tipo de exposición de riesgo biológico ante el </w:t>
            </w:r>
            <w:proofErr w:type="gramStart"/>
            <w:r w:rsidRPr="005E1226">
              <w:rPr>
                <w:sz w:val="18"/>
                <w:szCs w:val="18"/>
              </w:rPr>
              <w:t>VIH,</w:t>
            </w:r>
            <w:proofErr w:type="gramEnd"/>
            <w:r w:rsidRPr="005E1226">
              <w:rPr>
                <w:sz w:val="18"/>
                <w:szCs w:val="18"/>
              </w:rPr>
              <w:t xml:space="preserve"> tiene un nivel de riesgo diferentes y</w:t>
            </w:r>
          </w:p>
          <w:p w14:paraId="37B8A556" w14:textId="77777777" w:rsidR="005E1226" w:rsidRPr="005E1226" w:rsidRDefault="005E1226" w:rsidP="005E1226">
            <w:pPr>
              <w:jc w:val="both"/>
              <w:rPr>
                <w:sz w:val="18"/>
                <w:szCs w:val="18"/>
              </w:rPr>
            </w:pPr>
            <w:r w:rsidRPr="005E1226">
              <w:rPr>
                <w:sz w:val="18"/>
                <w:szCs w:val="18"/>
              </w:rPr>
              <w:t>unas intervenciones específicas. Ver tablas a continuación que describen cada una de estas</w:t>
            </w:r>
          </w:p>
          <w:p w14:paraId="281684D6" w14:textId="41ABB679" w:rsidR="004D342D" w:rsidRPr="004D342D" w:rsidRDefault="005E1226" w:rsidP="005E1226">
            <w:pPr>
              <w:jc w:val="both"/>
              <w:rPr>
                <w:sz w:val="18"/>
                <w:szCs w:val="18"/>
              </w:rPr>
            </w:pPr>
            <w:r w:rsidRPr="005E1226">
              <w:rPr>
                <w:sz w:val="18"/>
                <w:szCs w:val="18"/>
              </w:rPr>
              <w:t>situaciones.</w:t>
            </w:r>
          </w:p>
        </w:tc>
      </w:tr>
    </w:tbl>
    <w:p w14:paraId="060AD901" w14:textId="77777777" w:rsidR="004D342D" w:rsidRPr="004D342D" w:rsidRDefault="004D342D" w:rsidP="004D342D">
      <w:pPr>
        <w:jc w:val="both"/>
        <w:rPr>
          <w:sz w:val="18"/>
          <w:szCs w:val="18"/>
        </w:rPr>
      </w:pPr>
    </w:p>
    <w:p w14:paraId="7E5ED65D" w14:textId="77777777" w:rsidR="002B7844" w:rsidRDefault="002B7844" w:rsidP="002B7844">
      <w:pPr>
        <w:jc w:val="both"/>
        <w:rPr>
          <w:sz w:val="18"/>
          <w:szCs w:val="18"/>
        </w:rPr>
      </w:pPr>
    </w:p>
    <w:p w14:paraId="6A10E861" w14:textId="34D2C97B" w:rsidR="002B7844" w:rsidRDefault="005E1226" w:rsidP="00AA2753">
      <w:pPr>
        <w:pStyle w:val="Ttulo1"/>
      </w:pPr>
      <w:bookmarkStart w:id="6" w:name="_Toc84920666"/>
      <w:r w:rsidRPr="005E1226">
        <w:t>5.2 Evaluación del riesgo ante una exposición de riesgo ocupacional (EO).</w:t>
      </w:r>
      <w:bookmarkEnd w:id="6"/>
    </w:p>
    <w:p w14:paraId="15883908" w14:textId="426A50D5" w:rsidR="005E1226" w:rsidRPr="009B138C" w:rsidRDefault="005E1226" w:rsidP="005E1226">
      <w:pPr>
        <w:jc w:val="both"/>
        <w:rPr>
          <w:b/>
          <w:bCs/>
        </w:rPr>
      </w:pPr>
      <w:r w:rsidRPr="009B138C">
        <w:rPr>
          <w:b/>
          <w:bCs/>
        </w:rPr>
        <w:t>Tabla 1. Evaluación del riesgo ante una exposición ocupacional.6</w:t>
      </w:r>
    </w:p>
    <w:p w14:paraId="03ABCEEE" w14:textId="5FBA2943" w:rsidR="0025742D" w:rsidRDefault="0025742D" w:rsidP="0025742D">
      <w:pPr>
        <w:jc w:val="both"/>
        <w:rPr>
          <w:sz w:val="20"/>
          <w:szCs w:val="20"/>
        </w:rPr>
      </w:pPr>
      <w:r w:rsidRPr="0025742D">
        <w:rPr>
          <w:sz w:val="20"/>
          <w:szCs w:val="20"/>
        </w:rPr>
        <w:t xml:space="preserve">6 Documento de Consenso sobre Profilaxis </w:t>
      </w:r>
      <w:proofErr w:type="spellStart"/>
      <w:r w:rsidRPr="0025742D">
        <w:rPr>
          <w:sz w:val="20"/>
          <w:szCs w:val="20"/>
        </w:rPr>
        <w:t>post-exposición</w:t>
      </w:r>
      <w:proofErr w:type="spellEnd"/>
      <w:r w:rsidRPr="0025742D">
        <w:rPr>
          <w:sz w:val="20"/>
          <w:szCs w:val="20"/>
        </w:rPr>
        <w:t xml:space="preserve"> ocupacional y no ocupacional en relación con el</w:t>
      </w:r>
      <w:r>
        <w:rPr>
          <w:sz w:val="20"/>
          <w:szCs w:val="20"/>
        </w:rPr>
        <w:t xml:space="preserve"> </w:t>
      </w:r>
      <w:r w:rsidRPr="0025742D">
        <w:rPr>
          <w:sz w:val="20"/>
          <w:szCs w:val="20"/>
        </w:rPr>
        <w:t>VIH, VHB y VHC en</w:t>
      </w:r>
      <w:r>
        <w:rPr>
          <w:sz w:val="20"/>
          <w:szCs w:val="20"/>
        </w:rPr>
        <w:t xml:space="preserve"> </w:t>
      </w:r>
      <w:r w:rsidRPr="0025742D">
        <w:rPr>
          <w:sz w:val="20"/>
          <w:szCs w:val="20"/>
        </w:rPr>
        <w:t>adultos y niños. GESIDA Marzo de 2015.</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4"/>
        <w:gridCol w:w="2937"/>
        <w:gridCol w:w="2937"/>
      </w:tblGrid>
      <w:tr w:rsidR="005E1226" w14:paraId="3C2E7208" w14:textId="77777777" w:rsidTr="00451BBE">
        <w:tc>
          <w:tcPr>
            <w:tcW w:w="2942" w:type="dxa"/>
            <w:shd w:val="clear" w:color="auto" w:fill="C9C9C9" w:themeFill="accent3" w:themeFillTint="99"/>
          </w:tcPr>
          <w:p w14:paraId="2223C39E" w14:textId="5B910FEE" w:rsidR="005E1226" w:rsidRDefault="005E1226" w:rsidP="005E1226">
            <w:pPr>
              <w:jc w:val="center"/>
              <w:rPr>
                <w:sz w:val="20"/>
                <w:szCs w:val="20"/>
              </w:rPr>
            </w:pPr>
            <w:r>
              <w:rPr>
                <w:rFonts w:ascii="Arial-BoldMT" w:hAnsi="Arial-BoldMT" w:cs="Arial-BoldMT"/>
                <w:b/>
                <w:bCs/>
                <w:sz w:val="18"/>
                <w:szCs w:val="18"/>
              </w:rPr>
              <w:t>Tipo de Exposición</w:t>
            </w:r>
          </w:p>
        </w:tc>
        <w:tc>
          <w:tcPr>
            <w:tcW w:w="2943" w:type="dxa"/>
            <w:shd w:val="clear" w:color="auto" w:fill="C9C9C9" w:themeFill="accent3" w:themeFillTint="99"/>
          </w:tcPr>
          <w:p w14:paraId="5DAE606A" w14:textId="77777777" w:rsidR="005E1226" w:rsidRDefault="005E1226" w:rsidP="005E1226">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Tipo de Fluido potencialmente infectante o no</w:t>
            </w:r>
          </w:p>
          <w:p w14:paraId="51145B51" w14:textId="05B5B90C" w:rsidR="005E1226" w:rsidRDefault="005E1226" w:rsidP="005E1226">
            <w:pPr>
              <w:jc w:val="center"/>
              <w:rPr>
                <w:sz w:val="20"/>
                <w:szCs w:val="20"/>
              </w:rPr>
            </w:pPr>
            <w:r>
              <w:rPr>
                <w:rFonts w:ascii="Arial-BoldMT" w:hAnsi="Arial-BoldMT" w:cs="Arial-BoldMT"/>
                <w:b/>
                <w:bCs/>
                <w:sz w:val="18"/>
                <w:szCs w:val="18"/>
              </w:rPr>
              <w:t>infectante</w:t>
            </w:r>
          </w:p>
        </w:tc>
        <w:tc>
          <w:tcPr>
            <w:tcW w:w="2943" w:type="dxa"/>
            <w:shd w:val="clear" w:color="auto" w:fill="C9C9C9" w:themeFill="accent3" w:themeFillTint="99"/>
          </w:tcPr>
          <w:p w14:paraId="150000E1" w14:textId="55C2F8AF" w:rsidR="005E1226" w:rsidRDefault="005E1226" w:rsidP="005E1226">
            <w:pPr>
              <w:jc w:val="center"/>
              <w:rPr>
                <w:sz w:val="20"/>
                <w:szCs w:val="20"/>
              </w:rPr>
            </w:pPr>
            <w:r>
              <w:rPr>
                <w:rFonts w:ascii="Arial-BoldMT" w:hAnsi="Arial-BoldMT" w:cs="Arial-BoldMT"/>
                <w:b/>
                <w:bCs/>
                <w:sz w:val="18"/>
                <w:szCs w:val="18"/>
              </w:rPr>
              <w:t>Recomendación</w:t>
            </w:r>
          </w:p>
        </w:tc>
      </w:tr>
      <w:tr w:rsidR="009C4F30" w14:paraId="74E9862D" w14:textId="77777777" w:rsidTr="00451BBE">
        <w:tc>
          <w:tcPr>
            <w:tcW w:w="2942" w:type="dxa"/>
            <w:vMerge w:val="restart"/>
          </w:tcPr>
          <w:p w14:paraId="518D6842" w14:textId="77777777" w:rsidR="009C4F30" w:rsidRDefault="009C4F30" w:rsidP="005E1226">
            <w:pPr>
              <w:jc w:val="center"/>
              <w:rPr>
                <w:sz w:val="20"/>
                <w:szCs w:val="20"/>
              </w:rPr>
            </w:pPr>
          </w:p>
          <w:p w14:paraId="577C7DE8" w14:textId="77777777" w:rsidR="009C4F30" w:rsidRDefault="009C4F30" w:rsidP="005E1226">
            <w:pPr>
              <w:jc w:val="center"/>
              <w:rPr>
                <w:sz w:val="20"/>
                <w:szCs w:val="20"/>
              </w:rPr>
            </w:pPr>
          </w:p>
          <w:p w14:paraId="6D009215" w14:textId="77777777" w:rsidR="009C4F30" w:rsidRDefault="009C4F30" w:rsidP="005E1226">
            <w:pPr>
              <w:jc w:val="center"/>
              <w:rPr>
                <w:sz w:val="20"/>
                <w:szCs w:val="20"/>
              </w:rPr>
            </w:pPr>
          </w:p>
          <w:p w14:paraId="4069824E" w14:textId="77777777" w:rsidR="009C4F30" w:rsidRDefault="009C4F30" w:rsidP="005E1226">
            <w:pPr>
              <w:jc w:val="center"/>
              <w:rPr>
                <w:sz w:val="20"/>
                <w:szCs w:val="20"/>
              </w:rPr>
            </w:pPr>
          </w:p>
          <w:p w14:paraId="0C6D6DFB" w14:textId="77777777" w:rsidR="009C4F30" w:rsidRDefault="009C4F30" w:rsidP="005E1226">
            <w:pPr>
              <w:jc w:val="center"/>
              <w:rPr>
                <w:sz w:val="20"/>
                <w:szCs w:val="20"/>
              </w:rPr>
            </w:pPr>
          </w:p>
          <w:p w14:paraId="5CD982E2" w14:textId="2AB8BE68" w:rsidR="009C4F30" w:rsidRDefault="009C4F30" w:rsidP="005E1226">
            <w:pPr>
              <w:jc w:val="center"/>
              <w:rPr>
                <w:sz w:val="20"/>
                <w:szCs w:val="20"/>
              </w:rPr>
            </w:pPr>
            <w:r w:rsidRPr="005E1226">
              <w:rPr>
                <w:sz w:val="20"/>
                <w:szCs w:val="20"/>
              </w:rPr>
              <w:t>Percutánea</w:t>
            </w:r>
          </w:p>
        </w:tc>
        <w:tc>
          <w:tcPr>
            <w:tcW w:w="2943" w:type="dxa"/>
          </w:tcPr>
          <w:p w14:paraId="2BC58458" w14:textId="77777777" w:rsidR="009C4F30" w:rsidRPr="005E1226" w:rsidRDefault="009C4F30" w:rsidP="005E1226">
            <w:pPr>
              <w:jc w:val="both"/>
              <w:rPr>
                <w:sz w:val="20"/>
                <w:szCs w:val="20"/>
              </w:rPr>
            </w:pPr>
            <w:r w:rsidRPr="005E1226">
              <w:rPr>
                <w:sz w:val="20"/>
                <w:szCs w:val="20"/>
              </w:rPr>
              <w:t>1. Sangre:</w:t>
            </w:r>
          </w:p>
          <w:p w14:paraId="5372ECB9" w14:textId="77777777" w:rsidR="009C4F30" w:rsidRPr="005E1226" w:rsidRDefault="009C4F30" w:rsidP="005E1226">
            <w:pPr>
              <w:jc w:val="both"/>
              <w:rPr>
                <w:sz w:val="20"/>
                <w:szCs w:val="20"/>
              </w:rPr>
            </w:pPr>
            <w:r w:rsidRPr="005E1226">
              <w:rPr>
                <w:sz w:val="20"/>
                <w:szCs w:val="20"/>
              </w:rPr>
              <w:t>*Riesgo muy alto</w:t>
            </w:r>
          </w:p>
          <w:p w14:paraId="7AF05D5B" w14:textId="77777777" w:rsidR="009C4F30" w:rsidRPr="005E1226" w:rsidRDefault="009C4F30" w:rsidP="005E1226">
            <w:pPr>
              <w:jc w:val="both"/>
              <w:rPr>
                <w:sz w:val="20"/>
                <w:szCs w:val="20"/>
              </w:rPr>
            </w:pPr>
            <w:r w:rsidRPr="005E1226">
              <w:rPr>
                <w:sz w:val="20"/>
                <w:szCs w:val="20"/>
              </w:rPr>
              <w:t>**Riesgo alto</w:t>
            </w:r>
          </w:p>
          <w:p w14:paraId="1F7EFA1C" w14:textId="723A5854" w:rsidR="009C4F30" w:rsidRDefault="009C4F30" w:rsidP="005E1226">
            <w:pPr>
              <w:jc w:val="both"/>
              <w:rPr>
                <w:sz w:val="20"/>
                <w:szCs w:val="20"/>
              </w:rPr>
            </w:pPr>
            <w:r w:rsidRPr="005E1226">
              <w:rPr>
                <w:sz w:val="20"/>
                <w:szCs w:val="20"/>
              </w:rPr>
              <w:t>***Riesgo no alto</w:t>
            </w:r>
          </w:p>
        </w:tc>
        <w:tc>
          <w:tcPr>
            <w:tcW w:w="2943" w:type="dxa"/>
          </w:tcPr>
          <w:p w14:paraId="70FD72FA" w14:textId="77777777" w:rsidR="009C4F30" w:rsidRPr="005E1226" w:rsidRDefault="009C4F30" w:rsidP="005E1226">
            <w:pPr>
              <w:jc w:val="both"/>
              <w:rPr>
                <w:sz w:val="20"/>
                <w:szCs w:val="20"/>
              </w:rPr>
            </w:pPr>
            <w:r w:rsidRPr="005E1226">
              <w:rPr>
                <w:sz w:val="20"/>
                <w:szCs w:val="20"/>
              </w:rPr>
              <w:t>*Iniciar PPE</w:t>
            </w:r>
          </w:p>
          <w:p w14:paraId="4630CE71" w14:textId="77777777" w:rsidR="009C4F30" w:rsidRPr="005E1226" w:rsidRDefault="009C4F30" w:rsidP="005E1226">
            <w:pPr>
              <w:jc w:val="both"/>
              <w:rPr>
                <w:sz w:val="20"/>
                <w:szCs w:val="20"/>
              </w:rPr>
            </w:pPr>
            <w:r w:rsidRPr="005E1226">
              <w:rPr>
                <w:sz w:val="20"/>
                <w:szCs w:val="20"/>
              </w:rPr>
              <w:t>**Iniciar PPE</w:t>
            </w:r>
          </w:p>
          <w:p w14:paraId="654DCE20" w14:textId="596C94FF" w:rsidR="009C4F30" w:rsidRDefault="009C4F30" w:rsidP="005E1226">
            <w:pPr>
              <w:jc w:val="both"/>
              <w:rPr>
                <w:sz w:val="20"/>
                <w:szCs w:val="20"/>
              </w:rPr>
            </w:pPr>
            <w:r w:rsidRPr="005E1226">
              <w:rPr>
                <w:sz w:val="20"/>
                <w:szCs w:val="20"/>
              </w:rPr>
              <w:t xml:space="preserve">***Iniciar PPE teniendo en cuenta </w:t>
            </w:r>
            <w:proofErr w:type="spellStart"/>
            <w:r w:rsidRPr="005E1226">
              <w:rPr>
                <w:sz w:val="20"/>
                <w:szCs w:val="20"/>
              </w:rPr>
              <w:t>ǂǂ</w:t>
            </w:r>
            <w:proofErr w:type="spellEnd"/>
          </w:p>
        </w:tc>
      </w:tr>
      <w:tr w:rsidR="009C4F30" w14:paraId="781DB381" w14:textId="77777777" w:rsidTr="00451BBE">
        <w:tc>
          <w:tcPr>
            <w:tcW w:w="2942" w:type="dxa"/>
            <w:vMerge/>
          </w:tcPr>
          <w:p w14:paraId="3DCD6369" w14:textId="77777777" w:rsidR="009C4F30" w:rsidRDefault="009C4F30" w:rsidP="005E1226">
            <w:pPr>
              <w:jc w:val="both"/>
              <w:rPr>
                <w:sz w:val="20"/>
                <w:szCs w:val="20"/>
              </w:rPr>
            </w:pPr>
          </w:p>
        </w:tc>
        <w:tc>
          <w:tcPr>
            <w:tcW w:w="2943" w:type="dxa"/>
          </w:tcPr>
          <w:p w14:paraId="2CC5FC14" w14:textId="77777777" w:rsidR="009C4F30" w:rsidRPr="005E1226" w:rsidRDefault="009C4F30" w:rsidP="005E1226">
            <w:pPr>
              <w:jc w:val="both"/>
              <w:rPr>
                <w:sz w:val="20"/>
                <w:szCs w:val="20"/>
              </w:rPr>
            </w:pPr>
            <w:r w:rsidRPr="005E1226">
              <w:rPr>
                <w:sz w:val="20"/>
                <w:szCs w:val="20"/>
              </w:rPr>
              <w:t>2. Líquido que contiene sangre, otros fluidos</w:t>
            </w:r>
          </w:p>
          <w:p w14:paraId="0B6B7EC0" w14:textId="4264616F" w:rsidR="009C4F30" w:rsidRDefault="009C4F30" w:rsidP="005E1226">
            <w:pPr>
              <w:jc w:val="both"/>
              <w:rPr>
                <w:sz w:val="20"/>
                <w:szCs w:val="20"/>
              </w:rPr>
            </w:pPr>
            <w:r w:rsidRPr="005E1226">
              <w:rPr>
                <w:sz w:val="20"/>
                <w:szCs w:val="20"/>
              </w:rPr>
              <w:t>potencialmente infectantes (#) o tejidos.</w:t>
            </w:r>
          </w:p>
        </w:tc>
        <w:tc>
          <w:tcPr>
            <w:tcW w:w="2943" w:type="dxa"/>
          </w:tcPr>
          <w:p w14:paraId="35EA49CB" w14:textId="54AB31E5" w:rsidR="009C4F30" w:rsidRDefault="009C4F30" w:rsidP="005E1226">
            <w:pPr>
              <w:jc w:val="both"/>
              <w:rPr>
                <w:sz w:val="20"/>
                <w:szCs w:val="20"/>
              </w:rPr>
            </w:pPr>
            <w:r w:rsidRPr="005E1226">
              <w:rPr>
                <w:sz w:val="20"/>
                <w:szCs w:val="20"/>
              </w:rPr>
              <w:t xml:space="preserve">Iniciar PPE. Tener en cuenta </w:t>
            </w:r>
            <w:proofErr w:type="spellStart"/>
            <w:r w:rsidRPr="005E1226">
              <w:rPr>
                <w:sz w:val="20"/>
                <w:szCs w:val="20"/>
              </w:rPr>
              <w:t>ǂǂ</w:t>
            </w:r>
            <w:proofErr w:type="spellEnd"/>
          </w:p>
        </w:tc>
      </w:tr>
      <w:tr w:rsidR="009C4F30" w14:paraId="3DF2C34A" w14:textId="77777777" w:rsidTr="00451BBE">
        <w:tc>
          <w:tcPr>
            <w:tcW w:w="2942" w:type="dxa"/>
            <w:vMerge/>
          </w:tcPr>
          <w:p w14:paraId="267C5600" w14:textId="77777777" w:rsidR="009C4F30" w:rsidRDefault="009C4F30" w:rsidP="005E1226">
            <w:pPr>
              <w:jc w:val="both"/>
              <w:rPr>
                <w:sz w:val="20"/>
                <w:szCs w:val="20"/>
              </w:rPr>
            </w:pPr>
          </w:p>
        </w:tc>
        <w:tc>
          <w:tcPr>
            <w:tcW w:w="2943" w:type="dxa"/>
          </w:tcPr>
          <w:p w14:paraId="0AFBF47A" w14:textId="49086B5D" w:rsidR="009C4F30" w:rsidRDefault="009C4F30" w:rsidP="005E1226">
            <w:pPr>
              <w:jc w:val="both"/>
              <w:rPr>
                <w:sz w:val="20"/>
                <w:szCs w:val="20"/>
              </w:rPr>
            </w:pPr>
            <w:r w:rsidRPr="0025742D">
              <w:rPr>
                <w:sz w:val="20"/>
                <w:szCs w:val="20"/>
              </w:rPr>
              <w:t>3. Otros líquidos corporales no infectantes</w:t>
            </w:r>
          </w:p>
        </w:tc>
        <w:tc>
          <w:tcPr>
            <w:tcW w:w="2943" w:type="dxa"/>
          </w:tcPr>
          <w:p w14:paraId="7EDEA1D1" w14:textId="5DE0C381" w:rsidR="009C4F30" w:rsidRDefault="009C4F30" w:rsidP="005E1226">
            <w:pPr>
              <w:jc w:val="both"/>
              <w:rPr>
                <w:sz w:val="20"/>
                <w:szCs w:val="20"/>
              </w:rPr>
            </w:pPr>
            <w:r w:rsidRPr="0025742D">
              <w:rPr>
                <w:sz w:val="20"/>
                <w:szCs w:val="20"/>
              </w:rPr>
              <w:t>No se recomienda PPE</w:t>
            </w:r>
          </w:p>
        </w:tc>
      </w:tr>
      <w:tr w:rsidR="009C4F30" w14:paraId="71A79FEE" w14:textId="77777777" w:rsidTr="00451BBE">
        <w:tc>
          <w:tcPr>
            <w:tcW w:w="2942" w:type="dxa"/>
            <w:vMerge w:val="restart"/>
          </w:tcPr>
          <w:p w14:paraId="56D21B40" w14:textId="77777777" w:rsidR="009C4F30" w:rsidRDefault="009C4F30" w:rsidP="009C4F30">
            <w:pPr>
              <w:jc w:val="center"/>
              <w:rPr>
                <w:sz w:val="20"/>
                <w:szCs w:val="20"/>
              </w:rPr>
            </w:pPr>
          </w:p>
          <w:p w14:paraId="2E510315" w14:textId="77777777" w:rsidR="00D16E6C" w:rsidRDefault="00D16E6C" w:rsidP="009C4F30">
            <w:pPr>
              <w:jc w:val="center"/>
              <w:rPr>
                <w:sz w:val="20"/>
                <w:szCs w:val="20"/>
              </w:rPr>
            </w:pPr>
          </w:p>
          <w:p w14:paraId="00AA010B" w14:textId="77777777" w:rsidR="00C2386C" w:rsidRDefault="00C2386C" w:rsidP="00D16E6C">
            <w:pPr>
              <w:jc w:val="center"/>
              <w:rPr>
                <w:sz w:val="20"/>
                <w:szCs w:val="20"/>
              </w:rPr>
            </w:pPr>
          </w:p>
          <w:p w14:paraId="5935E0F2" w14:textId="77777777" w:rsidR="00C2386C" w:rsidRDefault="00C2386C" w:rsidP="00D16E6C">
            <w:pPr>
              <w:jc w:val="center"/>
              <w:rPr>
                <w:sz w:val="20"/>
                <w:szCs w:val="20"/>
              </w:rPr>
            </w:pPr>
          </w:p>
          <w:p w14:paraId="419E096A" w14:textId="14F6C024" w:rsidR="009C4F30" w:rsidRDefault="009C4F30" w:rsidP="00D16E6C">
            <w:pPr>
              <w:jc w:val="center"/>
              <w:rPr>
                <w:sz w:val="20"/>
                <w:szCs w:val="20"/>
              </w:rPr>
            </w:pPr>
            <w:r w:rsidRPr="009C4F30">
              <w:rPr>
                <w:sz w:val="20"/>
                <w:szCs w:val="20"/>
              </w:rPr>
              <w:lastRenderedPageBreak/>
              <w:t>Mucosas</w:t>
            </w:r>
          </w:p>
        </w:tc>
        <w:tc>
          <w:tcPr>
            <w:tcW w:w="2943" w:type="dxa"/>
          </w:tcPr>
          <w:p w14:paraId="05328E4D" w14:textId="77777777" w:rsidR="009C4F30" w:rsidRPr="009C4F30" w:rsidRDefault="009C4F30" w:rsidP="009C4F30">
            <w:pPr>
              <w:jc w:val="both"/>
              <w:rPr>
                <w:sz w:val="20"/>
                <w:szCs w:val="20"/>
              </w:rPr>
            </w:pPr>
            <w:r w:rsidRPr="009C4F30">
              <w:rPr>
                <w:sz w:val="20"/>
                <w:szCs w:val="20"/>
              </w:rPr>
              <w:lastRenderedPageBreak/>
              <w:t>1. Sangre:</w:t>
            </w:r>
          </w:p>
          <w:p w14:paraId="7F89CF06" w14:textId="77777777" w:rsidR="009C4F30" w:rsidRPr="009C4F30" w:rsidRDefault="009C4F30" w:rsidP="009C4F30">
            <w:pPr>
              <w:jc w:val="both"/>
              <w:rPr>
                <w:sz w:val="20"/>
                <w:szCs w:val="20"/>
              </w:rPr>
            </w:pPr>
            <w:r w:rsidRPr="009C4F30">
              <w:rPr>
                <w:sz w:val="20"/>
                <w:szCs w:val="20"/>
              </w:rPr>
              <w:t>Riesgo muy alto</w:t>
            </w:r>
          </w:p>
          <w:p w14:paraId="64D81C14" w14:textId="77777777" w:rsidR="009C4F30" w:rsidRPr="009C4F30" w:rsidRDefault="009C4F30" w:rsidP="009C4F30">
            <w:pPr>
              <w:jc w:val="both"/>
              <w:rPr>
                <w:sz w:val="20"/>
                <w:szCs w:val="20"/>
              </w:rPr>
            </w:pPr>
            <w:r w:rsidRPr="009C4F30">
              <w:rPr>
                <w:sz w:val="20"/>
                <w:szCs w:val="20"/>
              </w:rPr>
              <w:t>Riesgo alto</w:t>
            </w:r>
          </w:p>
          <w:p w14:paraId="66DBF176" w14:textId="51BA11B1" w:rsidR="009C4F30" w:rsidRPr="0025742D" w:rsidRDefault="009C4F30" w:rsidP="009C4F30">
            <w:pPr>
              <w:jc w:val="both"/>
              <w:rPr>
                <w:sz w:val="20"/>
                <w:szCs w:val="20"/>
              </w:rPr>
            </w:pPr>
            <w:r w:rsidRPr="009C4F30">
              <w:rPr>
                <w:sz w:val="20"/>
                <w:szCs w:val="20"/>
              </w:rPr>
              <w:t>Riesgo no alto</w:t>
            </w:r>
          </w:p>
        </w:tc>
        <w:tc>
          <w:tcPr>
            <w:tcW w:w="2943" w:type="dxa"/>
          </w:tcPr>
          <w:p w14:paraId="1ECB206C" w14:textId="2A3B3DC8" w:rsidR="009C4F30" w:rsidRPr="0025742D" w:rsidRDefault="009C4F30" w:rsidP="005E1226">
            <w:pPr>
              <w:jc w:val="both"/>
              <w:rPr>
                <w:sz w:val="20"/>
                <w:szCs w:val="20"/>
              </w:rPr>
            </w:pPr>
            <w:r w:rsidRPr="009C4F30">
              <w:rPr>
                <w:sz w:val="20"/>
                <w:szCs w:val="20"/>
              </w:rPr>
              <w:t xml:space="preserve">Valorar individualmente </w:t>
            </w:r>
            <w:proofErr w:type="spellStart"/>
            <w:r w:rsidRPr="009C4F30">
              <w:rPr>
                <w:sz w:val="20"/>
                <w:szCs w:val="20"/>
              </w:rPr>
              <w:t>ɸɸ</w:t>
            </w:r>
            <w:proofErr w:type="spellEnd"/>
          </w:p>
        </w:tc>
      </w:tr>
      <w:tr w:rsidR="009C4F30" w14:paraId="106469C9" w14:textId="77777777" w:rsidTr="00451BBE">
        <w:tc>
          <w:tcPr>
            <w:tcW w:w="2942" w:type="dxa"/>
            <w:vMerge/>
          </w:tcPr>
          <w:p w14:paraId="6FDC8E11" w14:textId="77777777" w:rsidR="009C4F30" w:rsidRDefault="009C4F30" w:rsidP="005E1226">
            <w:pPr>
              <w:jc w:val="both"/>
              <w:rPr>
                <w:sz w:val="20"/>
                <w:szCs w:val="20"/>
              </w:rPr>
            </w:pPr>
          </w:p>
        </w:tc>
        <w:tc>
          <w:tcPr>
            <w:tcW w:w="2943" w:type="dxa"/>
          </w:tcPr>
          <w:p w14:paraId="7B4310B1" w14:textId="1C1E145B" w:rsidR="009C4F30" w:rsidRPr="0025742D" w:rsidRDefault="009C4F30" w:rsidP="009C4F30">
            <w:pPr>
              <w:jc w:val="both"/>
              <w:rPr>
                <w:sz w:val="20"/>
                <w:szCs w:val="20"/>
              </w:rPr>
            </w:pPr>
            <w:r w:rsidRPr="009C4F30">
              <w:rPr>
                <w:sz w:val="20"/>
                <w:szCs w:val="20"/>
              </w:rPr>
              <w:t>2. Líquido que contiene sangre, otros fluidos</w:t>
            </w:r>
            <w:r w:rsidR="00D16E6C">
              <w:rPr>
                <w:sz w:val="20"/>
                <w:szCs w:val="20"/>
              </w:rPr>
              <w:t xml:space="preserve"> </w:t>
            </w:r>
            <w:r w:rsidRPr="009C4F30">
              <w:rPr>
                <w:sz w:val="20"/>
                <w:szCs w:val="20"/>
              </w:rPr>
              <w:t>potencialmente infectantes (#) o tejidos.</w:t>
            </w:r>
          </w:p>
        </w:tc>
        <w:tc>
          <w:tcPr>
            <w:tcW w:w="2943" w:type="dxa"/>
          </w:tcPr>
          <w:p w14:paraId="56E45381" w14:textId="0AC047F1" w:rsidR="009C4F30" w:rsidRPr="0025742D" w:rsidRDefault="009C4F30" w:rsidP="005E1226">
            <w:pPr>
              <w:jc w:val="both"/>
              <w:rPr>
                <w:sz w:val="20"/>
                <w:szCs w:val="20"/>
              </w:rPr>
            </w:pPr>
            <w:r w:rsidRPr="009C4F30">
              <w:rPr>
                <w:sz w:val="20"/>
                <w:szCs w:val="20"/>
              </w:rPr>
              <w:t xml:space="preserve">Valorar individualmente </w:t>
            </w:r>
            <w:proofErr w:type="spellStart"/>
            <w:r w:rsidRPr="009C4F30">
              <w:rPr>
                <w:sz w:val="20"/>
                <w:szCs w:val="20"/>
              </w:rPr>
              <w:t>ɸɸ</w:t>
            </w:r>
            <w:proofErr w:type="spellEnd"/>
          </w:p>
        </w:tc>
      </w:tr>
      <w:tr w:rsidR="009C4F30" w14:paraId="63926A6E" w14:textId="77777777" w:rsidTr="00451BBE">
        <w:tc>
          <w:tcPr>
            <w:tcW w:w="2942" w:type="dxa"/>
            <w:vMerge/>
          </w:tcPr>
          <w:p w14:paraId="65739AB7" w14:textId="77777777" w:rsidR="009C4F30" w:rsidRDefault="009C4F30" w:rsidP="005E1226">
            <w:pPr>
              <w:jc w:val="both"/>
              <w:rPr>
                <w:sz w:val="20"/>
                <w:szCs w:val="20"/>
              </w:rPr>
            </w:pPr>
          </w:p>
        </w:tc>
        <w:tc>
          <w:tcPr>
            <w:tcW w:w="2943" w:type="dxa"/>
          </w:tcPr>
          <w:p w14:paraId="1F034151" w14:textId="6D329293" w:rsidR="009C4F30" w:rsidRPr="0025742D" w:rsidRDefault="009C4F30" w:rsidP="005E1226">
            <w:pPr>
              <w:jc w:val="both"/>
              <w:rPr>
                <w:sz w:val="20"/>
                <w:szCs w:val="20"/>
              </w:rPr>
            </w:pPr>
            <w:r w:rsidRPr="009C4F30">
              <w:rPr>
                <w:sz w:val="20"/>
                <w:szCs w:val="20"/>
              </w:rPr>
              <w:t>3. Otros líquidos corporales no infectantes</w:t>
            </w:r>
          </w:p>
        </w:tc>
        <w:tc>
          <w:tcPr>
            <w:tcW w:w="2943" w:type="dxa"/>
          </w:tcPr>
          <w:p w14:paraId="5AED7AF2" w14:textId="3A409326" w:rsidR="009C4F30" w:rsidRPr="0025742D" w:rsidRDefault="00D16E6C" w:rsidP="00D16E6C">
            <w:pPr>
              <w:jc w:val="both"/>
              <w:rPr>
                <w:sz w:val="20"/>
                <w:szCs w:val="20"/>
              </w:rPr>
            </w:pPr>
            <w:r w:rsidRPr="0025742D">
              <w:rPr>
                <w:sz w:val="20"/>
                <w:szCs w:val="20"/>
              </w:rPr>
              <w:t>No se recomienda PPE</w:t>
            </w:r>
          </w:p>
        </w:tc>
      </w:tr>
      <w:tr w:rsidR="00D16E6C" w14:paraId="6ED51441" w14:textId="77777777" w:rsidTr="00451BBE">
        <w:tc>
          <w:tcPr>
            <w:tcW w:w="2942" w:type="dxa"/>
            <w:vMerge w:val="restart"/>
          </w:tcPr>
          <w:p w14:paraId="1A217A74" w14:textId="77777777" w:rsidR="00D16E6C" w:rsidRDefault="00D16E6C" w:rsidP="00D16E6C">
            <w:pPr>
              <w:jc w:val="center"/>
              <w:rPr>
                <w:sz w:val="20"/>
                <w:szCs w:val="20"/>
              </w:rPr>
            </w:pPr>
          </w:p>
          <w:p w14:paraId="2E542105" w14:textId="77777777" w:rsidR="00D16E6C" w:rsidRDefault="00D16E6C" w:rsidP="00D16E6C">
            <w:pPr>
              <w:jc w:val="center"/>
              <w:rPr>
                <w:sz w:val="20"/>
                <w:szCs w:val="20"/>
              </w:rPr>
            </w:pPr>
          </w:p>
          <w:p w14:paraId="0C299FE2" w14:textId="77777777" w:rsidR="00D16E6C" w:rsidRDefault="00D16E6C" w:rsidP="00D16E6C">
            <w:pPr>
              <w:jc w:val="center"/>
              <w:rPr>
                <w:sz w:val="20"/>
                <w:szCs w:val="20"/>
              </w:rPr>
            </w:pPr>
          </w:p>
          <w:p w14:paraId="4DDAF578" w14:textId="77777777" w:rsidR="00D16E6C" w:rsidRDefault="00D16E6C" w:rsidP="00D16E6C">
            <w:pPr>
              <w:jc w:val="center"/>
              <w:rPr>
                <w:sz w:val="20"/>
                <w:szCs w:val="20"/>
              </w:rPr>
            </w:pPr>
          </w:p>
          <w:p w14:paraId="4D6C5074" w14:textId="6407E544" w:rsidR="00D16E6C" w:rsidRDefault="00D16E6C" w:rsidP="00D16E6C">
            <w:pPr>
              <w:jc w:val="center"/>
              <w:rPr>
                <w:sz w:val="20"/>
                <w:szCs w:val="20"/>
              </w:rPr>
            </w:pPr>
            <w:r w:rsidRPr="00D16E6C">
              <w:rPr>
                <w:sz w:val="20"/>
                <w:szCs w:val="20"/>
              </w:rPr>
              <w:t>Piel alto riesgo (&amp;)</w:t>
            </w:r>
          </w:p>
        </w:tc>
        <w:tc>
          <w:tcPr>
            <w:tcW w:w="2943" w:type="dxa"/>
          </w:tcPr>
          <w:p w14:paraId="420D01E5" w14:textId="77777777" w:rsidR="00D16E6C" w:rsidRPr="00D16E6C" w:rsidRDefault="00D16E6C" w:rsidP="00D16E6C">
            <w:pPr>
              <w:jc w:val="both"/>
              <w:rPr>
                <w:sz w:val="20"/>
                <w:szCs w:val="20"/>
              </w:rPr>
            </w:pPr>
            <w:r w:rsidRPr="00D16E6C">
              <w:rPr>
                <w:sz w:val="20"/>
                <w:szCs w:val="20"/>
              </w:rPr>
              <w:t>1. Sangre:</w:t>
            </w:r>
          </w:p>
          <w:p w14:paraId="080E96F2" w14:textId="77777777" w:rsidR="00D16E6C" w:rsidRPr="00D16E6C" w:rsidRDefault="00D16E6C" w:rsidP="00D16E6C">
            <w:pPr>
              <w:jc w:val="both"/>
              <w:rPr>
                <w:sz w:val="20"/>
                <w:szCs w:val="20"/>
              </w:rPr>
            </w:pPr>
            <w:r w:rsidRPr="00D16E6C">
              <w:rPr>
                <w:sz w:val="20"/>
                <w:szCs w:val="20"/>
              </w:rPr>
              <w:t>Riesgo muy alto</w:t>
            </w:r>
          </w:p>
          <w:p w14:paraId="32C189D9" w14:textId="77777777" w:rsidR="00D16E6C" w:rsidRPr="00D16E6C" w:rsidRDefault="00D16E6C" w:rsidP="00D16E6C">
            <w:pPr>
              <w:jc w:val="both"/>
              <w:rPr>
                <w:sz w:val="20"/>
                <w:szCs w:val="20"/>
              </w:rPr>
            </w:pPr>
            <w:r w:rsidRPr="00D16E6C">
              <w:rPr>
                <w:sz w:val="20"/>
                <w:szCs w:val="20"/>
              </w:rPr>
              <w:t>Riesgo alto</w:t>
            </w:r>
          </w:p>
          <w:p w14:paraId="4F574649" w14:textId="45D20BB2" w:rsidR="00D16E6C" w:rsidRPr="009C4F30" w:rsidRDefault="00D16E6C" w:rsidP="00D16E6C">
            <w:pPr>
              <w:jc w:val="both"/>
              <w:rPr>
                <w:sz w:val="20"/>
                <w:szCs w:val="20"/>
              </w:rPr>
            </w:pPr>
            <w:r w:rsidRPr="00D16E6C">
              <w:rPr>
                <w:sz w:val="20"/>
                <w:szCs w:val="20"/>
              </w:rPr>
              <w:t>Riesgo no alto</w:t>
            </w:r>
          </w:p>
        </w:tc>
        <w:tc>
          <w:tcPr>
            <w:tcW w:w="2943" w:type="dxa"/>
          </w:tcPr>
          <w:p w14:paraId="623037AF" w14:textId="494D0D8C" w:rsidR="00D16E6C" w:rsidRPr="00D16E6C" w:rsidRDefault="00D16E6C" w:rsidP="00D16E6C">
            <w:pPr>
              <w:jc w:val="both"/>
              <w:rPr>
                <w:sz w:val="20"/>
                <w:szCs w:val="20"/>
              </w:rPr>
            </w:pPr>
            <w:r w:rsidRPr="00D16E6C">
              <w:rPr>
                <w:sz w:val="20"/>
                <w:szCs w:val="20"/>
              </w:rPr>
              <w:t xml:space="preserve">Valorar individualmente </w:t>
            </w:r>
            <w:proofErr w:type="spellStart"/>
            <w:r w:rsidRPr="00D16E6C">
              <w:rPr>
                <w:sz w:val="20"/>
                <w:szCs w:val="20"/>
              </w:rPr>
              <w:t>ɸɸ</w:t>
            </w:r>
            <w:proofErr w:type="spellEnd"/>
          </w:p>
        </w:tc>
      </w:tr>
      <w:tr w:rsidR="00D16E6C" w14:paraId="45449979" w14:textId="77777777" w:rsidTr="00451BBE">
        <w:tc>
          <w:tcPr>
            <w:tcW w:w="2942" w:type="dxa"/>
            <w:vMerge/>
          </w:tcPr>
          <w:p w14:paraId="4C5637E4" w14:textId="77777777" w:rsidR="00D16E6C" w:rsidRDefault="00D16E6C" w:rsidP="005E1226">
            <w:pPr>
              <w:jc w:val="both"/>
              <w:rPr>
                <w:sz w:val="20"/>
                <w:szCs w:val="20"/>
              </w:rPr>
            </w:pPr>
          </w:p>
        </w:tc>
        <w:tc>
          <w:tcPr>
            <w:tcW w:w="2943" w:type="dxa"/>
          </w:tcPr>
          <w:p w14:paraId="22AAF1BC" w14:textId="1D883159" w:rsidR="00D16E6C" w:rsidRPr="009C4F30" w:rsidRDefault="00D16E6C" w:rsidP="00D16E6C">
            <w:pPr>
              <w:jc w:val="both"/>
              <w:rPr>
                <w:sz w:val="20"/>
                <w:szCs w:val="20"/>
              </w:rPr>
            </w:pPr>
            <w:r w:rsidRPr="00D16E6C">
              <w:rPr>
                <w:sz w:val="20"/>
                <w:szCs w:val="20"/>
              </w:rPr>
              <w:t>2. Líquido que contiene sangre, otros fluidos</w:t>
            </w:r>
            <w:r>
              <w:rPr>
                <w:sz w:val="20"/>
                <w:szCs w:val="20"/>
              </w:rPr>
              <w:t xml:space="preserve"> </w:t>
            </w:r>
            <w:r w:rsidRPr="00D16E6C">
              <w:rPr>
                <w:sz w:val="20"/>
                <w:szCs w:val="20"/>
              </w:rPr>
              <w:t>potencialmente infectantes (#) o tejidos.</w:t>
            </w:r>
          </w:p>
        </w:tc>
        <w:tc>
          <w:tcPr>
            <w:tcW w:w="2943" w:type="dxa"/>
          </w:tcPr>
          <w:p w14:paraId="13086CDA" w14:textId="021D0BD2" w:rsidR="00D16E6C" w:rsidRPr="00D16E6C" w:rsidRDefault="00D16E6C" w:rsidP="00D16E6C">
            <w:pPr>
              <w:jc w:val="both"/>
              <w:rPr>
                <w:sz w:val="20"/>
                <w:szCs w:val="20"/>
              </w:rPr>
            </w:pPr>
            <w:r w:rsidRPr="00D16E6C">
              <w:rPr>
                <w:sz w:val="20"/>
                <w:szCs w:val="20"/>
              </w:rPr>
              <w:t xml:space="preserve">Valorar individualmente </w:t>
            </w:r>
            <w:proofErr w:type="spellStart"/>
            <w:r w:rsidRPr="00D16E6C">
              <w:rPr>
                <w:sz w:val="20"/>
                <w:szCs w:val="20"/>
              </w:rPr>
              <w:t>ɸɸ</w:t>
            </w:r>
            <w:proofErr w:type="spellEnd"/>
          </w:p>
        </w:tc>
      </w:tr>
      <w:tr w:rsidR="00D16E6C" w14:paraId="6BF1FA1D" w14:textId="77777777" w:rsidTr="00451BBE">
        <w:tc>
          <w:tcPr>
            <w:tcW w:w="2942" w:type="dxa"/>
            <w:vMerge/>
          </w:tcPr>
          <w:p w14:paraId="29073317" w14:textId="77777777" w:rsidR="00D16E6C" w:rsidRDefault="00D16E6C" w:rsidP="005E1226">
            <w:pPr>
              <w:jc w:val="both"/>
              <w:rPr>
                <w:sz w:val="20"/>
                <w:szCs w:val="20"/>
              </w:rPr>
            </w:pPr>
          </w:p>
        </w:tc>
        <w:tc>
          <w:tcPr>
            <w:tcW w:w="2943" w:type="dxa"/>
          </w:tcPr>
          <w:p w14:paraId="143FB1A1" w14:textId="3B75E421" w:rsidR="00D16E6C" w:rsidRPr="009C4F30" w:rsidRDefault="00D16E6C" w:rsidP="005E1226">
            <w:pPr>
              <w:jc w:val="both"/>
              <w:rPr>
                <w:sz w:val="20"/>
                <w:szCs w:val="20"/>
              </w:rPr>
            </w:pPr>
            <w:r w:rsidRPr="00D16E6C">
              <w:rPr>
                <w:sz w:val="20"/>
                <w:szCs w:val="20"/>
              </w:rPr>
              <w:t>3. Otros líquidos corporales no infectantes</w:t>
            </w:r>
          </w:p>
        </w:tc>
        <w:tc>
          <w:tcPr>
            <w:tcW w:w="2943" w:type="dxa"/>
          </w:tcPr>
          <w:p w14:paraId="6A8E30C6" w14:textId="125E46B0" w:rsidR="00D16E6C" w:rsidRPr="00D16E6C" w:rsidRDefault="00D16E6C" w:rsidP="00D16E6C">
            <w:pPr>
              <w:jc w:val="both"/>
              <w:rPr>
                <w:sz w:val="20"/>
                <w:szCs w:val="20"/>
              </w:rPr>
            </w:pPr>
            <w:r w:rsidRPr="0025742D">
              <w:rPr>
                <w:sz w:val="20"/>
                <w:szCs w:val="20"/>
              </w:rPr>
              <w:t>No se recomienda PPE</w:t>
            </w:r>
          </w:p>
        </w:tc>
      </w:tr>
    </w:tbl>
    <w:p w14:paraId="56E5C13F" w14:textId="77777777" w:rsidR="005E1226" w:rsidRPr="005E1226" w:rsidRDefault="005E1226" w:rsidP="005E1226">
      <w:pPr>
        <w:jc w:val="both"/>
        <w:rPr>
          <w:sz w:val="20"/>
          <w:szCs w:val="20"/>
        </w:rPr>
      </w:pPr>
    </w:p>
    <w:p w14:paraId="17803B60" w14:textId="329DAB17" w:rsidR="003E7721" w:rsidRPr="009B138C" w:rsidRDefault="00D16E6C" w:rsidP="003E7721">
      <w:pPr>
        <w:jc w:val="both"/>
      </w:pPr>
      <w:r w:rsidRPr="009B138C">
        <w:t>Claves de la tabla:</w:t>
      </w:r>
    </w:p>
    <w:p w14:paraId="3EE886A1" w14:textId="5723CFD3" w:rsidR="00D16E6C" w:rsidRPr="009B138C" w:rsidRDefault="00D16E6C" w:rsidP="00D16E6C">
      <w:pPr>
        <w:jc w:val="both"/>
      </w:pPr>
      <w:r w:rsidRPr="009B138C">
        <w:t>• Riesgo muy alto para VIH se define como accidente con gran volumen de sangre (pinchazo profundo con aguja utilizada en acceso vascular del paciente) y con carga viral de VIH elevada.</w:t>
      </w:r>
    </w:p>
    <w:p w14:paraId="7AC79AD7" w14:textId="0B27C9EA" w:rsidR="00D16E6C" w:rsidRPr="009B138C" w:rsidRDefault="00D16E6C" w:rsidP="00D16E6C">
      <w:pPr>
        <w:jc w:val="both"/>
      </w:pPr>
      <w:r w:rsidRPr="009B138C">
        <w:t>• **Riesgo alto para VIH se define como accidente con alto volumen de sangre o accidente con sangre que contiene carga viral VIH elevada.</w:t>
      </w:r>
    </w:p>
    <w:p w14:paraId="5A9066D3" w14:textId="2961C0AC" w:rsidR="00D16E6C" w:rsidRPr="009B138C" w:rsidRDefault="00D16E6C" w:rsidP="00D16E6C">
      <w:pPr>
        <w:jc w:val="both"/>
      </w:pPr>
      <w:r w:rsidRPr="009B138C">
        <w:t>• ***Riesgo no alto para VIH: es aquel accidente en el que no se da exposición a gran volumen de sangre ni a sangre con carga viral VIH elevada (pinchazo con aguja de sutura de paciente con carga viral baja o indetectable)</w:t>
      </w:r>
    </w:p>
    <w:p w14:paraId="70C58CB5" w14:textId="77777777" w:rsidR="00D16E6C" w:rsidRPr="009B138C" w:rsidRDefault="00D16E6C" w:rsidP="00D16E6C">
      <w:pPr>
        <w:jc w:val="both"/>
      </w:pPr>
      <w:r w:rsidRPr="009B138C">
        <w:t>• #: incluye semen, secreciones vaginales, LCR y líquidos sinovial, pleural, peritoneal, pericárdico y amniótico.</w:t>
      </w:r>
    </w:p>
    <w:p w14:paraId="440C80CE" w14:textId="18E04A2D" w:rsidR="00D16E6C" w:rsidRPr="009B138C" w:rsidRDefault="00D16E6C" w:rsidP="00D16E6C">
      <w:pPr>
        <w:jc w:val="both"/>
      </w:pPr>
      <w:r w:rsidRPr="009B138C">
        <w:t>• &amp;: Contactos cutáneos de alto riesgo cuando se trata de líquidos con carga viral de VIH elevada, el contacto es muy prolongado, el área es extensa o hay zonas de piel no íntegra.</w:t>
      </w:r>
    </w:p>
    <w:p w14:paraId="1DE00B16" w14:textId="2BA435F6" w:rsidR="00D16E6C" w:rsidRPr="009B138C" w:rsidRDefault="00D16E6C" w:rsidP="00D16E6C">
      <w:pPr>
        <w:jc w:val="both"/>
      </w:pPr>
      <w:r w:rsidRPr="009B138C">
        <w:t xml:space="preserve">• </w:t>
      </w:r>
      <w:proofErr w:type="spellStart"/>
      <w:r w:rsidRPr="009B138C">
        <w:t>ǂǂ</w:t>
      </w:r>
      <w:proofErr w:type="spellEnd"/>
      <w:r w:rsidRPr="009B138C">
        <w:t>: Cuando la carga viral de VIH de la fuente es indetectable (menor a 50 copias) se puede considerar no realizar PPE porque el riesgo de transmisión es muy bajo. De no ser posible la medición de la carga viral, se debe iniciar la PPE.</w:t>
      </w:r>
    </w:p>
    <w:p w14:paraId="65B962BA" w14:textId="31F5B029" w:rsidR="00D16E6C" w:rsidRPr="009B138C" w:rsidRDefault="00D16E6C" w:rsidP="00D16E6C">
      <w:pPr>
        <w:jc w:val="both"/>
      </w:pPr>
      <w:r w:rsidRPr="009B138C">
        <w:t xml:space="preserve">• </w:t>
      </w:r>
      <w:proofErr w:type="spellStart"/>
      <w:r w:rsidRPr="009B138C">
        <w:t>ɸɸ</w:t>
      </w:r>
      <w:proofErr w:type="spellEnd"/>
      <w:r w:rsidRPr="009B138C">
        <w:t>: Valorar individualmente cada caso. En general recomendar PPE. Cuando la carga viral es indetectable se puede considerar no realizar PPE porque el riesgo de transmisión es muy bajo.</w:t>
      </w:r>
    </w:p>
    <w:p w14:paraId="51DBDA62" w14:textId="77777777" w:rsidR="00D16E6C" w:rsidRDefault="00D16E6C" w:rsidP="00D16E6C">
      <w:pPr>
        <w:jc w:val="both"/>
        <w:rPr>
          <w:sz w:val="20"/>
          <w:szCs w:val="20"/>
        </w:rPr>
      </w:pPr>
    </w:p>
    <w:p w14:paraId="3973F135" w14:textId="78085155" w:rsidR="00D16E6C" w:rsidRDefault="00D16E6C" w:rsidP="00AA2753">
      <w:pPr>
        <w:pStyle w:val="Ttulo1"/>
      </w:pPr>
      <w:bookmarkStart w:id="7" w:name="_Toc84920667"/>
      <w:r w:rsidRPr="00D16E6C">
        <w:lastRenderedPageBreak/>
        <w:t>5.3 Recomendaciones para decidir iniciar profilaxis ante una exposición de riesgo biológico ocupacional (ERBO)7</w:t>
      </w:r>
      <w:bookmarkEnd w:id="7"/>
    </w:p>
    <w:p w14:paraId="722512ED" w14:textId="78FD0168" w:rsidR="00AC4DAC" w:rsidRPr="009B138C" w:rsidRDefault="00AC4DAC" w:rsidP="00AC4DAC">
      <w:pPr>
        <w:jc w:val="both"/>
      </w:pPr>
      <w:r w:rsidRPr="009B138C">
        <w:t xml:space="preserve">7 Documento de Consenso sobre Profilaxis </w:t>
      </w:r>
      <w:proofErr w:type="spellStart"/>
      <w:r w:rsidRPr="009B138C">
        <w:t>post-exposición</w:t>
      </w:r>
      <w:proofErr w:type="spellEnd"/>
      <w:r w:rsidRPr="009B138C">
        <w:t xml:space="preserve"> ocupacional y no ocupacional en relación con el VIH, VHB y VHC en adultos y niños. GESIDA Marzo de 2015</w:t>
      </w:r>
    </w:p>
    <w:p w14:paraId="27BB3988" w14:textId="31691BCC" w:rsidR="00D16E6C" w:rsidRPr="009B138C" w:rsidRDefault="00D16E6C" w:rsidP="00D16E6C">
      <w:pPr>
        <w:jc w:val="both"/>
      </w:pPr>
      <w:r w:rsidRPr="009B138C">
        <w:t>1) Es importante intentar conocer la situación serológica frente al VIH de la persona fuente, los resultados se han de conocer preferiblemente en las primeras 2 horas. Recomendación fuerte a favor, calidad de evidencia alta.</w:t>
      </w:r>
    </w:p>
    <w:p w14:paraId="434BB7CC" w14:textId="1BBE276A" w:rsidR="00D16E6C" w:rsidRPr="009B138C" w:rsidRDefault="00D16E6C" w:rsidP="00D16E6C">
      <w:pPr>
        <w:jc w:val="both"/>
      </w:pPr>
      <w:r w:rsidRPr="009B138C">
        <w:t>2) En caso de que el paciente fuente tenga infección por el VIH conocida, es fundamental conocer la carga viral, el esquema de TAR (si lo recibe), así como la historia farmacológica y los motivos de cambio de tratamiento (resistencias, intolerancia o toxicidad) del paciente. Recomendación fuerte a favor, calidad de evidencia alta.</w:t>
      </w:r>
    </w:p>
    <w:p w14:paraId="285C322F" w14:textId="1D2BF6F5" w:rsidR="00D16E6C" w:rsidRPr="009B138C" w:rsidRDefault="00D16E6C" w:rsidP="00D16E6C">
      <w:pPr>
        <w:jc w:val="both"/>
      </w:pPr>
      <w:r w:rsidRPr="009B138C">
        <w:t>3) Si no se puede conocer la situación serológica del paciente fuente, se considerará como de alto riesgo y se debe iniciar PPE. Recomendación fuerte a favor, calidad de evidencia moderada.</w:t>
      </w:r>
    </w:p>
    <w:p w14:paraId="0A61BBAE" w14:textId="0141AE69" w:rsidR="00AC4DAC" w:rsidRPr="009B138C" w:rsidRDefault="00AC4DAC" w:rsidP="00AC4DAC">
      <w:pPr>
        <w:jc w:val="both"/>
      </w:pPr>
      <w:r w:rsidRPr="009B138C">
        <w:t>4) La PPE ha de iniciarse lo antes posible tras la ERBO al VIH, preferiblemente en las primeras 24 horas, y siempre dentro de las primeras 72 horas. Recomendación fuerte a favor, calidad de evidencia moderada.</w:t>
      </w:r>
    </w:p>
    <w:p w14:paraId="6269AEF1" w14:textId="77777777" w:rsidR="00AC4DAC" w:rsidRPr="009B138C" w:rsidRDefault="00AC4DAC" w:rsidP="00AC4DAC">
      <w:pPr>
        <w:jc w:val="both"/>
      </w:pPr>
      <w:r w:rsidRPr="009B138C">
        <w:t>5) En las ERBO percutáneas a sangre con riesgo alto y muy alto se recomienda realizar PPE.</w:t>
      </w:r>
    </w:p>
    <w:p w14:paraId="0B693E41" w14:textId="77777777" w:rsidR="00AC4DAC" w:rsidRPr="009B138C" w:rsidRDefault="00AC4DAC" w:rsidP="00AC4DAC">
      <w:pPr>
        <w:jc w:val="both"/>
      </w:pPr>
      <w:r w:rsidRPr="009B138C">
        <w:t>Recomendación fuerte a favor, calidad de la evidencia moderada.</w:t>
      </w:r>
    </w:p>
    <w:p w14:paraId="3A2FBC2D" w14:textId="0F3DA406" w:rsidR="00AC4DAC" w:rsidRPr="009B138C" w:rsidRDefault="00AC4DAC" w:rsidP="00AC4DAC">
      <w:pPr>
        <w:jc w:val="both"/>
      </w:pPr>
      <w:r w:rsidRPr="009B138C">
        <w:t>6) En las ERBO percutáneas a sangre con menor riesgo o a otros fluidos corporales potencialmente infectantes se recomienda realizar PPE, aunque, si la carga viral de la fuente es indetectable se puede considerar no realizarla. Recomendación fuerte a favor, calidad de la evidencia baja.</w:t>
      </w:r>
    </w:p>
    <w:p w14:paraId="6D59BE4E" w14:textId="5367FC3D" w:rsidR="00AC4DAC" w:rsidRPr="009B138C" w:rsidRDefault="00AC4DAC" w:rsidP="00AC4DAC">
      <w:pPr>
        <w:jc w:val="both"/>
      </w:pPr>
      <w:r w:rsidRPr="009B138C">
        <w:t>7) En las ERBO con mucosas o con piel de alto riesgo a sangre y a otros fluidos corporales potencialmente infectantes se recomienda realizar PPE, aunque, si la carga viral de la fuente es indetectable se puede considerar no realizarla. Recomendación débil a favor, calidad de la evidencia baja.</w:t>
      </w:r>
    </w:p>
    <w:p w14:paraId="79E79578" w14:textId="7B637430" w:rsidR="00AC4DAC" w:rsidRPr="009B138C" w:rsidRDefault="00AC4DAC" w:rsidP="00AC4DAC">
      <w:pPr>
        <w:jc w:val="both"/>
      </w:pPr>
      <w:r w:rsidRPr="009B138C">
        <w:t>8) En las ERBO a fluidos corporales no infectantes no se recomienda realizar PPE. Recomendación fuerte en contra, calidad de la evidencia baja.</w:t>
      </w:r>
    </w:p>
    <w:p w14:paraId="15D51546" w14:textId="7267DCC5" w:rsidR="00AC4DAC" w:rsidRPr="009B138C" w:rsidRDefault="00AC4DAC" w:rsidP="00AC4DAC">
      <w:pPr>
        <w:jc w:val="both"/>
      </w:pPr>
      <w:r w:rsidRPr="009B138C">
        <w:t>9) La PPE para VIH debe interrumpirse si se confirma según los algoritmos diagnósticos vigentes que el paciente fuente es VIH negativo. Recomendación fuerte a favor, baja calidad de evidencia.</w:t>
      </w:r>
    </w:p>
    <w:p w14:paraId="158D5E84" w14:textId="77777777" w:rsidR="00AC4DAC" w:rsidRDefault="00AC4DAC" w:rsidP="00AC4DAC">
      <w:pPr>
        <w:jc w:val="both"/>
        <w:rPr>
          <w:sz w:val="20"/>
          <w:szCs w:val="20"/>
        </w:rPr>
      </w:pPr>
    </w:p>
    <w:p w14:paraId="0387A316" w14:textId="3EB8F9EA" w:rsidR="00AC4DAC" w:rsidRDefault="00AC4DAC" w:rsidP="00AA2753">
      <w:pPr>
        <w:pStyle w:val="Ttulo1"/>
      </w:pPr>
      <w:bookmarkStart w:id="8" w:name="_Toc84920668"/>
      <w:r w:rsidRPr="00AC4DAC">
        <w:t>5.4 Evaluación del riesgo ante una exposición de riesgo biológico no ocupacional (ERBNO).</w:t>
      </w:r>
      <w:bookmarkEnd w:id="8"/>
    </w:p>
    <w:p w14:paraId="4B051022" w14:textId="77777777" w:rsidR="00AA2753" w:rsidRDefault="00AA2753" w:rsidP="00AC4DAC">
      <w:pPr>
        <w:jc w:val="both"/>
        <w:rPr>
          <w:b/>
          <w:bCs/>
          <w:sz w:val="20"/>
          <w:szCs w:val="20"/>
        </w:rPr>
      </w:pPr>
    </w:p>
    <w:p w14:paraId="59586637" w14:textId="5AD225E8" w:rsidR="00AC4DAC" w:rsidRPr="009B138C" w:rsidRDefault="00AC4DAC" w:rsidP="00AC4DAC">
      <w:pPr>
        <w:jc w:val="both"/>
        <w:rPr>
          <w:b/>
          <w:bCs/>
        </w:rPr>
      </w:pPr>
      <w:r w:rsidRPr="009B138C">
        <w:rPr>
          <w:b/>
          <w:bCs/>
        </w:rPr>
        <w:lastRenderedPageBreak/>
        <w:t>Tabla 2. Probabilidad estimada por acto, de adquirir la infección por VIH de una fuente infectada, según la ruta de exposición. 8</w:t>
      </w:r>
    </w:p>
    <w:p w14:paraId="46E4AECC" w14:textId="0E327885" w:rsidR="00AC4DAC" w:rsidRDefault="00AC4DAC" w:rsidP="00AC4DAC">
      <w:pPr>
        <w:jc w:val="both"/>
        <w:rPr>
          <w:sz w:val="20"/>
          <w:szCs w:val="20"/>
        </w:rPr>
      </w:pPr>
      <w:r w:rsidRPr="00AC4DAC">
        <w:rPr>
          <w:sz w:val="20"/>
          <w:szCs w:val="20"/>
        </w:rPr>
        <w:t xml:space="preserve">8 Documento de Consenso sobre Profilaxis </w:t>
      </w:r>
      <w:proofErr w:type="spellStart"/>
      <w:r w:rsidRPr="00AC4DAC">
        <w:rPr>
          <w:sz w:val="20"/>
          <w:szCs w:val="20"/>
        </w:rPr>
        <w:t>post-exposición</w:t>
      </w:r>
      <w:proofErr w:type="spellEnd"/>
      <w:r w:rsidRPr="00AC4DAC">
        <w:rPr>
          <w:sz w:val="20"/>
          <w:szCs w:val="20"/>
        </w:rPr>
        <w:t xml:space="preserve"> ocupacional y no ocupacional en relación con el VIH, VHB y VHC en</w:t>
      </w:r>
      <w:r>
        <w:rPr>
          <w:sz w:val="20"/>
          <w:szCs w:val="20"/>
        </w:rPr>
        <w:t xml:space="preserve"> </w:t>
      </w:r>
      <w:r w:rsidRPr="00AC4DAC">
        <w:rPr>
          <w:sz w:val="20"/>
          <w:szCs w:val="20"/>
        </w:rPr>
        <w:t>adultos y niños. GESIDA Marzo de 2015.</w:t>
      </w:r>
    </w:p>
    <w:p w14:paraId="41464C60" w14:textId="40ECD258" w:rsidR="00AC4DAC" w:rsidRDefault="00AC4DAC" w:rsidP="00AC4DAC">
      <w:pPr>
        <w:jc w:val="both"/>
        <w:rPr>
          <w:sz w:val="20"/>
          <w:szCs w:val="2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4"/>
        <w:gridCol w:w="4404"/>
      </w:tblGrid>
      <w:tr w:rsidR="00AC4DAC" w14:paraId="7D51BFE6" w14:textId="77777777" w:rsidTr="00451BBE">
        <w:tc>
          <w:tcPr>
            <w:tcW w:w="4414" w:type="dxa"/>
            <w:shd w:val="clear" w:color="auto" w:fill="C9C9C9" w:themeFill="accent3" w:themeFillTint="99"/>
          </w:tcPr>
          <w:p w14:paraId="4ED09010" w14:textId="5EC2EE92" w:rsidR="00AC4DAC" w:rsidRDefault="00AC4DAC" w:rsidP="00AC4DAC">
            <w:pPr>
              <w:jc w:val="center"/>
              <w:rPr>
                <w:sz w:val="20"/>
                <w:szCs w:val="20"/>
              </w:rPr>
            </w:pPr>
            <w:r>
              <w:rPr>
                <w:rFonts w:ascii="Arial-BoldMT" w:hAnsi="Arial-BoldMT" w:cs="Arial-BoldMT"/>
                <w:b/>
                <w:bCs/>
                <w:sz w:val="18"/>
                <w:szCs w:val="18"/>
              </w:rPr>
              <w:t>Tipo de exposición</w:t>
            </w:r>
          </w:p>
        </w:tc>
        <w:tc>
          <w:tcPr>
            <w:tcW w:w="4414" w:type="dxa"/>
            <w:shd w:val="clear" w:color="auto" w:fill="C9C9C9" w:themeFill="accent3" w:themeFillTint="99"/>
          </w:tcPr>
          <w:p w14:paraId="1C7BCEFA" w14:textId="77777777" w:rsidR="00AC4DAC" w:rsidRDefault="00AC4DAC" w:rsidP="00AC4DAC">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por 10.000 exposiciones</w:t>
            </w:r>
          </w:p>
          <w:p w14:paraId="323383BD" w14:textId="54C01ECB" w:rsidR="00AC4DAC" w:rsidRDefault="00AC4DAC" w:rsidP="00AC4DAC">
            <w:pPr>
              <w:jc w:val="center"/>
              <w:rPr>
                <w:sz w:val="20"/>
                <w:szCs w:val="20"/>
              </w:rPr>
            </w:pPr>
            <w:r>
              <w:rPr>
                <w:rFonts w:ascii="Arial-BoldMT" w:hAnsi="Arial-BoldMT" w:cs="Arial-BoldMT"/>
                <w:b/>
                <w:bCs/>
                <w:sz w:val="18"/>
                <w:szCs w:val="18"/>
              </w:rPr>
              <w:t>a una fuente infectada (IC 95%)</w:t>
            </w:r>
          </w:p>
        </w:tc>
      </w:tr>
      <w:tr w:rsidR="00AC4DAC" w14:paraId="2DB8C31C" w14:textId="77777777" w:rsidTr="00451BBE">
        <w:tc>
          <w:tcPr>
            <w:tcW w:w="4414" w:type="dxa"/>
          </w:tcPr>
          <w:p w14:paraId="1905B1BA" w14:textId="77777777" w:rsidR="00AC4DAC" w:rsidRPr="00AC4DAC" w:rsidRDefault="00AC4DAC" w:rsidP="00AC4DAC">
            <w:pPr>
              <w:jc w:val="both"/>
              <w:rPr>
                <w:b/>
                <w:bCs/>
                <w:sz w:val="20"/>
                <w:szCs w:val="20"/>
              </w:rPr>
            </w:pPr>
            <w:r w:rsidRPr="00AC4DAC">
              <w:rPr>
                <w:b/>
                <w:bCs/>
                <w:sz w:val="20"/>
                <w:szCs w:val="20"/>
              </w:rPr>
              <w:t>Parenteral</w:t>
            </w:r>
          </w:p>
          <w:p w14:paraId="0A7FEE10" w14:textId="7794FB6B" w:rsidR="00AC4DAC" w:rsidRPr="00AC4DAC" w:rsidRDefault="00AC4DAC" w:rsidP="00AC4DAC">
            <w:pPr>
              <w:jc w:val="both"/>
              <w:rPr>
                <w:sz w:val="20"/>
                <w:szCs w:val="20"/>
              </w:rPr>
            </w:pPr>
            <w:r w:rsidRPr="00AC4DAC">
              <w:rPr>
                <w:sz w:val="20"/>
                <w:szCs w:val="20"/>
              </w:rPr>
              <w:t>a. Transfusión sanguínea</w:t>
            </w:r>
          </w:p>
          <w:p w14:paraId="68DC85D8" w14:textId="77777777" w:rsidR="00AC4DAC" w:rsidRPr="00AC4DAC" w:rsidRDefault="00AC4DAC" w:rsidP="00AC4DAC">
            <w:pPr>
              <w:jc w:val="both"/>
              <w:rPr>
                <w:sz w:val="20"/>
                <w:szCs w:val="20"/>
              </w:rPr>
            </w:pPr>
            <w:r w:rsidRPr="00AC4DAC">
              <w:rPr>
                <w:sz w:val="20"/>
                <w:szCs w:val="20"/>
              </w:rPr>
              <w:t>b. Compartir agujas entre usuarios de drogas</w:t>
            </w:r>
          </w:p>
          <w:p w14:paraId="443BDD61" w14:textId="6F07ABD9" w:rsidR="00AC4DAC" w:rsidRDefault="00AC4DAC" w:rsidP="00AC4DAC">
            <w:pPr>
              <w:jc w:val="both"/>
              <w:rPr>
                <w:sz w:val="20"/>
                <w:szCs w:val="20"/>
              </w:rPr>
            </w:pPr>
            <w:r w:rsidRPr="00AC4DAC">
              <w:rPr>
                <w:sz w:val="20"/>
                <w:szCs w:val="20"/>
              </w:rPr>
              <w:t>c. Pinchazo percutáneo con una aguja</w:t>
            </w:r>
          </w:p>
        </w:tc>
        <w:tc>
          <w:tcPr>
            <w:tcW w:w="4414" w:type="dxa"/>
          </w:tcPr>
          <w:p w14:paraId="33EFD3F8" w14:textId="77777777" w:rsidR="00AC4DAC" w:rsidRPr="00AC4DAC" w:rsidRDefault="00AC4DAC" w:rsidP="001912EE">
            <w:pPr>
              <w:jc w:val="both"/>
              <w:rPr>
                <w:sz w:val="20"/>
                <w:szCs w:val="20"/>
              </w:rPr>
            </w:pPr>
            <w:r w:rsidRPr="00AC4DAC">
              <w:rPr>
                <w:sz w:val="20"/>
                <w:szCs w:val="20"/>
              </w:rPr>
              <w:t>a. 9.250 (8900-9610)</w:t>
            </w:r>
          </w:p>
          <w:p w14:paraId="12A393B5" w14:textId="77777777" w:rsidR="00AC4DAC" w:rsidRPr="00AC4DAC" w:rsidRDefault="00AC4DAC" w:rsidP="001912EE">
            <w:pPr>
              <w:jc w:val="both"/>
              <w:rPr>
                <w:sz w:val="20"/>
                <w:szCs w:val="20"/>
              </w:rPr>
            </w:pPr>
            <w:r w:rsidRPr="00AC4DAC">
              <w:rPr>
                <w:sz w:val="20"/>
                <w:szCs w:val="20"/>
              </w:rPr>
              <w:t>b. 63 (41-92)</w:t>
            </w:r>
          </w:p>
          <w:p w14:paraId="47A8B1C6" w14:textId="28664C97" w:rsidR="00AC4DAC" w:rsidRDefault="00AC4DAC" w:rsidP="001912EE">
            <w:pPr>
              <w:jc w:val="both"/>
              <w:rPr>
                <w:sz w:val="20"/>
                <w:szCs w:val="20"/>
              </w:rPr>
            </w:pPr>
            <w:r w:rsidRPr="00AC4DAC">
              <w:rPr>
                <w:sz w:val="20"/>
                <w:szCs w:val="20"/>
              </w:rPr>
              <w:t>c. 23 (0-46)</w:t>
            </w:r>
          </w:p>
        </w:tc>
      </w:tr>
      <w:tr w:rsidR="00AC4DAC" w14:paraId="6284C711" w14:textId="77777777" w:rsidTr="00451BBE">
        <w:tc>
          <w:tcPr>
            <w:tcW w:w="4414" w:type="dxa"/>
          </w:tcPr>
          <w:p w14:paraId="64DA1B4B" w14:textId="77777777" w:rsidR="00AC4DAC" w:rsidRPr="00AC4DAC" w:rsidRDefault="00AC4DAC" w:rsidP="00AC4DAC">
            <w:pPr>
              <w:jc w:val="both"/>
              <w:rPr>
                <w:b/>
                <w:bCs/>
                <w:sz w:val="20"/>
                <w:szCs w:val="20"/>
              </w:rPr>
            </w:pPr>
            <w:r w:rsidRPr="00AC4DAC">
              <w:rPr>
                <w:b/>
                <w:bCs/>
                <w:sz w:val="20"/>
                <w:szCs w:val="20"/>
              </w:rPr>
              <w:t>Sexual</w:t>
            </w:r>
          </w:p>
          <w:p w14:paraId="1E55F2FA" w14:textId="308A5AD5" w:rsidR="00AC4DAC" w:rsidRPr="00AC4DAC" w:rsidRDefault="00AC4DAC" w:rsidP="00AC4DAC">
            <w:pPr>
              <w:jc w:val="both"/>
              <w:rPr>
                <w:sz w:val="20"/>
                <w:szCs w:val="20"/>
              </w:rPr>
            </w:pPr>
            <w:r w:rsidRPr="00AC4DAC">
              <w:rPr>
                <w:sz w:val="20"/>
                <w:szCs w:val="20"/>
              </w:rPr>
              <w:t>a. Receptivo anal</w:t>
            </w:r>
          </w:p>
          <w:p w14:paraId="6257156B" w14:textId="77777777" w:rsidR="00AC4DAC" w:rsidRPr="00AC4DAC" w:rsidRDefault="00AC4DAC" w:rsidP="00AC4DAC">
            <w:pPr>
              <w:jc w:val="both"/>
              <w:rPr>
                <w:sz w:val="20"/>
                <w:szCs w:val="20"/>
              </w:rPr>
            </w:pPr>
            <w:r w:rsidRPr="00AC4DAC">
              <w:rPr>
                <w:sz w:val="20"/>
                <w:szCs w:val="20"/>
              </w:rPr>
              <w:t xml:space="preserve">b. </w:t>
            </w:r>
            <w:proofErr w:type="spellStart"/>
            <w:r w:rsidRPr="00AC4DAC">
              <w:rPr>
                <w:sz w:val="20"/>
                <w:szCs w:val="20"/>
              </w:rPr>
              <w:t>Insertivo</w:t>
            </w:r>
            <w:proofErr w:type="spellEnd"/>
            <w:r w:rsidRPr="00AC4DAC">
              <w:rPr>
                <w:sz w:val="20"/>
                <w:szCs w:val="20"/>
              </w:rPr>
              <w:t xml:space="preserve"> anal</w:t>
            </w:r>
          </w:p>
          <w:p w14:paraId="41DD9757" w14:textId="77777777" w:rsidR="00AC4DAC" w:rsidRPr="00AC4DAC" w:rsidRDefault="00AC4DAC" w:rsidP="00AC4DAC">
            <w:pPr>
              <w:jc w:val="both"/>
              <w:rPr>
                <w:sz w:val="20"/>
                <w:szCs w:val="20"/>
              </w:rPr>
            </w:pPr>
            <w:r w:rsidRPr="00AC4DAC">
              <w:rPr>
                <w:sz w:val="20"/>
                <w:szCs w:val="20"/>
              </w:rPr>
              <w:t>c. Coito receptivo pene-vagina</w:t>
            </w:r>
          </w:p>
          <w:p w14:paraId="6D03CCE7" w14:textId="77777777" w:rsidR="00AC4DAC" w:rsidRPr="00AC4DAC" w:rsidRDefault="00AC4DAC" w:rsidP="00AC4DAC">
            <w:pPr>
              <w:jc w:val="both"/>
              <w:rPr>
                <w:sz w:val="20"/>
                <w:szCs w:val="20"/>
              </w:rPr>
            </w:pPr>
            <w:r w:rsidRPr="00AC4DAC">
              <w:rPr>
                <w:sz w:val="20"/>
                <w:szCs w:val="20"/>
              </w:rPr>
              <w:t xml:space="preserve">d. Coito </w:t>
            </w:r>
            <w:proofErr w:type="spellStart"/>
            <w:r w:rsidRPr="00AC4DAC">
              <w:rPr>
                <w:sz w:val="20"/>
                <w:szCs w:val="20"/>
              </w:rPr>
              <w:t>insertivo</w:t>
            </w:r>
            <w:proofErr w:type="spellEnd"/>
            <w:r w:rsidRPr="00AC4DAC">
              <w:rPr>
                <w:sz w:val="20"/>
                <w:szCs w:val="20"/>
              </w:rPr>
              <w:t xml:space="preserve"> pene-vagina</w:t>
            </w:r>
          </w:p>
          <w:p w14:paraId="45D8B420" w14:textId="77777777" w:rsidR="00AC4DAC" w:rsidRPr="00AC4DAC" w:rsidRDefault="00AC4DAC" w:rsidP="00AC4DAC">
            <w:pPr>
              <w:jc w:val="both"/>
              <w:rPr>
                <w:sz w:val="20"/>
                <w:szCs w:val="20"/>
              </w:rPr>
            </w:pPr>
            <w:r w:rsidRPr="00AC4DAC">
              <w:rPr>
                <w:sz w:val="20"/>
                <w:szCs w:val="20"/>
              </w:rPr>
              <w:t>e. Oral receptivo</w:t>
            </w:r>
          </w:p>
          <w:p w14:paraId="2421DC45" w14:textId="2583135B" w:rsidR="00AC4DAC" w:rsidRDefault="00AC4DAC" w:rsidP="00AC4DAC">
            <w:pPr>
              <w:jc w:val="both"/>
              <w:rPr>
                <w:sz w:val="20"/>
                <w:szCs w:val="20"/>
              </w:rPr>
            </w:pPr>
            <w:r w:rsidRPr="00AC4DAC">
              <w:rPr>
                <w:sz w:val="20"/>
                <w:szCs w:val="20"/>
              </w:rPr>
              <w:t xml:space="preserve">f. Oral </w:t>
            </w:r>
            <w:proofErr w:type="spellStart"/>
            <w:r w:rsidRPr="00AC4DAC">
              <w:rPr>
                <w:sz w:val="20"/>
                <w:szCs w:val="20"/>
              </w:rPr>
              <w:t>insertivo</w:t>
            </w:r>
            <w:proofErr w:type="spellEnd"/>
          </w:p>
        </w:tc>
        <w:tc>
          <w:tcPr>
            <w:tcW w:w="4414" w:type="dxa"/>
          </w:tcPr>
          <w:p w14:paraId="51575E62" w14:textId="77777777" w:rsidR="00AC4DAC" w:rsidRPr="00AC4DAC" w:rsidRDefault="00AC4DAC" w:rsidP="00AC4DAC">
            <w:pPr>
              <w:jc w:val="both"/>
              <w:rPr>
                <w:sz w:val="20"/>
                <w:szCs w:val="20"/>
              </w:rPr>
            </w:pPr>
            <w:r w:rsidRPr="00AC4DAC">
              <w:rPr>
                <w:sz w:val="20"/>
                <w:szCs w:val="20"/>
              </w:rPr>
              <w:t>a.138 (102-186)</w:t>
            </w:r>
          </w:p>
          <w:p w14:paraId="1FCCBD61" w14:textId="77777777" w:rsidR="00AC4DAC" w:rsidRPr="00AC4DAC" w:rsidRDefault="00AC4DAC" w:rsidP="00AC4DAC">
            <w:pPr>
              <w:jc w:val="both"/>
              <w:rPr>
                <w:sz w:val="20"/>
                <w:szCs w:val="20"/>
              </w:rPr>
            </w:pPr>
            <w:r w:rsidRPr="00AC4DAC">
              <w:rPr>
                <w:sz w:val="20"/>
                <w:szCs w:val="20"/>
              </w:rPr>
              <w:t>b. 11 (4-28)</w:t>
            </w:r>
          </w:p>
          <w:p w14:paraId="0C89FBAC" w14:textId="77777777" w:rsidR="00AC4DAC" w:rsidRPr="00AC4DAC" w:rsidRDefault="00AC4DAC" w:rsidP="00AC4DAC">
            <w:pPr>
              <w:jc w:val="both"/>
              <w:rPr>
                <w:sz w:val="20"/>
                <w:szCs w:val="20"/>
              </w:rPr>
            </w:pPr>
            <w:r w:rsidRPr="00AC4DAC">
              <w:rPr>
                <w:sz w:val="20"/>
                <w:szCs w:val="20"/>
              </w:rPr>
              <w:t>c. 8 (6-11)</w:t>
            </w:r>
          </w:p>
          <w:p w14:paraId="2488A943" w14:textId="77777777" w:rsidR="00AC4DAC" w:rsidRPr="00AC4DAC" w:rsidRDefault="00AC4DAC" w:rsidP="00AC4DAC">
            <w:pPr>
              <w:jc w:val="both"/>
              <w:rPr>
                <w:sz w:val="20"/>
                <w:szCs w:val="20"/>
              </w:rPr>
            </w:pPr>
            <w:r w:rsidRPr="00AC4DAC">
              <w:rPr>
                <w:sz w:val="20"/>
                <w:szCs w:val="20"/>
              </w:rPr>
              <w:t>d. 4 (1-14)</w:t>
            </w:r>
          </w:p>
          <w:p w14:paraId="29D23686" w14:textId="77777777" w:rsidR="00AC4DAC" w:rsidRPr="00AC4DAC" w:rsidRDefault="00AC4DAC" w:rsidP="00AC4DAC">
            <w:pPr>
              <w:jc w:val="both"/>
              <w:rPr>
                <w:sz w:val="20"/>
                <w:szCs w:val="20"/>
              </w:rPr>
            </w:pPr>
            <w:r w:rsidRPr="00AC4DAC">
              <w:rPr>
                <w:sz w:val="20"/>
                <w:szCs w:val="20"/>
              </w:rPr>
              <w:t>e. Bajo (pero no cero) (0-4)</w:t>
            </w:r>
          </w:p>
          <w:p w14:paraId="420C0767" w14:textId="00827B97" w:rsidR="00AC4DAC" w:rsidRDefault="00AC4DAC" w:rsidP="00AC4DAC">
            <w:pPr>
              <w:jc w:val="both"/>
              <w:rPr>
                <w:sz w:val="20"/>
                <w:szCs w:val="20"/>
              </w:rPr>
            </w:pPr>
            <w:r w:rsidRPr="00AC4DAC">
              <w:rPr>
                <w:sz w:val="20"/>
                <w:szCs w:val="20"/>
              </w:rPr>
              <w:t>f. Bajo, pero no cero (0-4)</w:t>
            </w:r>
          </w:p>
        </w:tc>
      </w:tr>
      <w:tr w:rsidR="00AC4DAC" w14:paraId="4E87CD34" w14:textId="77777777" w:rsidTr="00451BBE">
        <w:tc>
          <w:tcPr>
            <w:tcW w:w="4414" w:type="dxa"/>
          </w:tcPr>
          <w:p w14:paraId="42279578" w14:textId="77777777" w:rsidR="00AC4DAC" w:rsidRPr="00AC4DAC" w:rsidRDefault="00AC4DAC" w:rsidP="00AC4DAC">
            <w:pPr>
              <w:jc w:val="both"/>
              <w:rPr>
                <w:b/>
                <w:bCs/>
                <w:sz w:val="20"/>
                <w:szCs w:val="20"/>
              </w:rPr>
            </w:pPr>
            <w:r w:rsidRPr="00AC4DAC">
              <w:rPr>
                <w:b/>
                <w:bCs/>
                <w:sz w:val="20"/>
                <w:szCs w:val="20"/>
              </w:rPr>
              <w:t>Materno-infantil</w:t>
            </w:r>
          </w:p>
          <w:p w14:paraId="1AD5D06A" w14:textId="039E056C" w:rsidR="00AC4DAC" w:rsidRDefault="00AC4DAC" w:rsidP="00AC4DAC">
            <w:pPr>
              <w:jc w:val="both"/>
              <w:rPr>
                <w:sz w:val="20"/>
                <w:szCs w:val="20"/>
              </w:rPr>
            </w:pPr>
            <w:r w:rsidRPr="00AC4DAC">
              <w:rPr>
                <w:sz w:val="20"/>
                <w:szCs w:val="20"/>
              </w:rPr>
              <w:t>a. Madre a hijo/a (sin TAR)</w:t>
            </w:r>
          </w:p>
        </w:tc>
        <w:tc>
          <w:tcPr>
            <w:tcW w:w="4414" w:type="dxa"/>
          </w:tcPr>
          <w:p w14:paraId="17A921F1" w14:textId="7EFA6E99" w:rsidR="00AC4DAC" w:rsidRDefault="00AC4DAC" w:rsidP="00AC4DAC">
            <w:pPr>
              <w:jc w:val="both"/>
              <w:rPr>
                <w:sz w:val="20"/>
                <w:szCs w:val="20"/>
              </w:rPr>
            </w:pPr>
            <w:r w:rsidRPr="00AC4DAC">
              <w:rPr>
                <w:sz w:val="20"/>
                <w:szCs w:val="20"/>
              </w:rPr>
              <w:t>a. 2.260 (1700-2900)</w:t>
            </w:r>
          </w:p>
        </w:tc>
      </w:tr>
    </w:tbl>
    <w:p w14:paraId="584E6125" w14:textId="77777777" w:rsidR="00AC4DAC" w:rsidRPr="00AC4DAC" w:rsidRDefault="00AC4DAC" w:rsidP="00AC4DAC">
      <w:pPr>
        <w:jc w:val="both"/>
        <w:rPr>
          <w:sz w:val="20"/>
          <w:szCs w:val="20"/>
        </w:rPr>
      </w:pPr>
    </w:p>
    <w:p w14:paraId="6649EB0B" w14:textId="77777777" w:rsidR="003E7721" w:rsidRPr="003E7721" w:rsidRDefault="003E7721" w:rsidP="003E7721">
      <w:pPr>
        <w:jc w:val="both"/>
        <w:rPr>
          <w:sz w:val="20"/>
          <w:szCs w:val="20"/>
        </w:rPr>
      </w:pPr>
    </w:p>
    <w:p w14:paraId="14FC902F" w14:textId="5B37C457" w:rsidR="003E7721" w:rsidRPr="009B138C" w:rsidRDefault="001912EE" w:rsidP="001912EE">
      <w:pPr>
        <w:rPr>
          <w:b/>
          <w:bCs/>
        </w:rPr>
      </w:pPr>
      <w:r w:rsidRPr="009B138C">
        <w:rPr>
          <w:b/>
          <w:bCs/>
        </w:rPr>
        <w:t xml:space="preserve">Tabla 3. Riesgo estimado de infección tras exposición sexual con fuente VIH+, sin uso de preservativo, rotura o mal uso </w:t>
      </w:r>
      <w:proofErr w:type="gramStart"/>
      <w:r w:rsidRPr="009B138C">
        <w:rPr>
          <w:b/>
          <w:bCs/>
        </w:rPr>
        <w:t>del mismo</w:t>
      </w:r>
      <w:proofErr w:type="gramEnd"/>
      <w:r w:rsidRPr="009B138C">
        <w:rPr>
          <w:b/>
          <w:bCs/>
        </w:rPr>
        <w:t>.9</w:t>
      </w:r>
    </w:p>
    <w:p w14:paraId="05741700" w14:textId="2519C822" w:rsidR="001912EE" w:rsidRDefault="001912EE" w:rsidP="001912EE">
      <w:pPr>
        <w:rPr>
          <w:sz w:val="18"/>
          <w:szCs w:val="18"/>
        </w:rPr>
      </w:pPr>
      <w:r w:rsidRPr="001912EE">
        <w:rPr>
          <w:sz w:val="18"/>
          <w:szCs w:val="18"/>
        </w:rPr>
        <w:t xml:space="preserve">9 Documento de Consenso sobre Profilaxis </w:t>
      </w:r>
      <w:proofErr w:type="spellStart"/>
      <w:r w:rsidRPr="001912EE">
        <w:rPr>
          <w:sz w:val="18"/>
          <w:szCs w:val="18"/>
        </w:rPr>
        <w:t>post-exposición</w:t>
      </w:r>
      <w:proofErr w:type="spellEnd"/>
      <w:r w:rsidRPr="001912EE">
        <w:rPr>
          <w:sz w:val="18"/>
          <w:szCs w:val="18"/>
        </w:rPr>
        <w:t xml:space="preserve"> ocupacional y no ocupacional en relación con el VIH, VHB y VHC en</w:t>
      </w:r>
      <w:r>
        <w:rPr>
          <w:sz w:val="18"/>
          <w:szCs w:val="18"/>
        </w:rPr>
        <w:t xml:space="preserve"> </w:t>
      </w:r>
      <w:r w:rsidRPr="001912EE">
        <w:rPr>
          <w:sz w:val="18"/>
          <w:szCs w:val="18"/>
        </w:rPr>
        <w:t>adultos y niños. GESIDA Marzo de 2015.</w:t>
      </w:r>
    </w:p>
    <w:p w14:paraId="691F96AB" w14:textId="77777777" w:rsidR="001912EE" w:rsidRDefault="001912EE" w:rsidP="001912EE">
      <w:pPr>
        <w:rPr>
          <w:sz w:val="18"/>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2"/>
        <w:gridCol w:w="2201"/>
        <w:gridCol w:w="2201"/>
        <w:gridCol w:w="2204"/>
      </w:tblGrid>
      <w:tr w:rsidR="001912EE" w14:paraId="6577D70E" w14:textId="77777777" w:rsidTr="00451BBE">
        <w:tc>
          <w:tcPr>
            <w:tcW w:w="2207" w:type="dxa"/>
            <w:shd w:val="clear" w:color="auto" w:fill="C9C9C9" w:themeFill="accent3" w:themeFillTint="99"/>
          </w:tcPr>
          <w:p w14:paraId="320DC223" w14:textId="77777777" w:rsidR="001912EE" w:rsidRPr="001912EE" w:rsidRDefault="001912EE" w:rsidP="001912EE">
            <w:pPr>
              <w:jc w:val="center"/>
              <w:rPr>
                <w:b/>
                <w:bCs/>
                <w:sz w:val="18"/>
                <w:szCs w:val="18"/>
              </w:rPr>
            </w:pPr>
            <w:r w:rsidRPr="001912EE">
              <w:rPr>
                <w:b/>
                <w:bCs/>
                <w:sz w:val="18"/>
                <w:szCs w:val="18"/>
              </w:rPr>
              <w:t>Riesgo considerable</w:t>
            </w:r>
          </w:p>
          <w:p w14:paraId="798796F6" w14:textId="54DD8D28" w:rsidR="001912EE" w:rsidRDefault="001912EE" w:rsidP="001912EE">
            <w:pPr>
              <w:jc w:val="center"/>
              <w:rPr>
                <w:sz w:val="18"/>
                <w:szCs w:val="18"/>
              </w:rPr>
            </w:pPr>
            <w:r w:rsidRPr="001912EE">
              <w:rPr>
                <w:b/>
                <w:bCs/>
                <w:sz w:val="18"/>
                <w:szCs w:val="18"/>
              </w:rPr>
              <w:t>0,8 a 3%</w:t>
            </w:r>
          </w:p>
        </w:tc>
        <w:tc>
          <w:tcPr>
            <w:tcW w:w="2207" w:type="dxa"/>
            <w:shd w:val="clear" w:color="auto" w:fill="C9C9C9" w:themeFill="accent3" w:themeFillTint="99"/>
          </w:tcPr>
          <w:p w14:paraId="08249C8C"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Bajo</w:t>
            </w:r>
          </w:p>
          <w:p w14:paraId="61B7563F" w14:textId="7F966978" w:rsidR="001912EE" w:rsidRDefault="001912EE" w:rsidP="001912EE">
            <w:pPr>
              <w:jc w:val="center"/>
              <w:rPr>
                <w:sz w:val="18"/>
                <w:szCs w:val="18"/>
              </w:rPr>
            </w:pPr>
            <w:r>
              <w:rPr>
                <w:rFonts w:ascii="Arial-BoldMT" w:hAnsi="Arial-BoldMT" w:cs="Arial-BoldMT"/>
                <w:b/>
                <w:bCs/>
                <w:sz w:val="18"/>
                <w:szCs w:val="18"/>
              </w:rPr>
              <w:t>0,05 a 0,8%</w:t>
            </w:r>
          </w:p>
        </w:tc>
        <w:tc>
          <w:tcPr>
            <w:tcW w:w="2207" w:type="dxa"/>
            <w:shd w:val="clear" w:color="auto" w:fill="C9C9C9" w:themeFill="accent3" w:themeFillTint="99"/>
          </w:tcPr>
          <w:p w14:paraId="430989B9"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mínimo</w:t>
            </w:r>
          </w:p>
          <w:p w14:paraId="5174AAE4" w14:textId="5FF559D8" w:rsidR="001912EE" w:rsidRDefault="001912EE" w:rsidP="001912EE">
            <w:pPr>
              <w:jc w:val="center"/>
              <w:rPr>
                <w:sz w:val="18"/>
                <w:szCs w:val="18"/>
              </w:rPr>
            </w:pPr>
            <w:r>
              <w:rPr>
                <w:rFonts w:ascii="Arial-BoldMT" w:hAnsi="Arial-BoldMT" w:cs="Arial-BoldMT"/>
                <w:b/>
                <w:bCs/>
                <w:sz w:val="18"/>
                <w:szCs w:val="18"/>
              </w:rPr>
              <w:t>0,01 a 0,05%</w:t>
            </w:r>
          </w:p>
        </w:tc>
        <w:tc>
          <w:tcPr>
            <w:tcW w:w="2207" w:type="dxa"/>
            <w:shd w:val="clear" w:color="auto" w:fill="C9C9C9" w:themeFill="accent3" w:themeFillTint="99"/>
          </w:tcPr>
          <w:p w14:paraId="0DE58DDF"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despreciable/nulo</w:t>
            </w:r>
          </w:p>
          <w:p w14:paraId="03CCDE46" w14:textId="3A806546" w:rsidR="001912EE" w:rsidRDefault="001912EE" w:rsidP="001912EE">
            <w:pPr>
              <w:jc w:val="center"/>
              <w:rPr>
                <w:sz w:val="18"/>
                <w:szCs w:val="18"/>
              </w:rPr>
            </w:pPr>
            <w:r>
              <w:rPr>
                <w:rFonts w:ascii="Arial-BoldMT" w:hAnsi="Arial-BoldMT" w:cs="Arial-BoldMT"/>
                <w:b/>
                <w:bCs/>
                <w:sz w:val="18"/>
                <w:szCs w:val="18"/>
              </w:rPr>
              <w:t>(&lt;0,01%)</w:t>
            </w:r>
          </w:p>
        </w:tc>
      </w:tr>
      <w:tr w:rsidR="001912EE" w14:paraId="599CCFAC" w14:textId="77777777" w:rsidTr="00451BBE">
        <w:tc>
          <w:tcPr>
            <w:tcW w:w="2207" w:type="dxa"/>
          </w:tcPr>
          <w:p w14:paraId="2693453B" w14:textId="77777777" w:rsidR="001912EE" w:rsidRPr="001912EE" w:rsidRDefault="001912EE" w:rsidP="001912EE">
            <w:pPr>
              <w:rPr>
                <w:sz w:val="18"/>
                <w:szCs w:val="18"/>
              </w:rPr>
            </w:pPr>
            <w:r w:rsidRPr="001912EE">
              <w:rPr>
                <w:sz w:val="18"/>
                <w:szCs w:val="18"/>
              </w:rPr>
              <w:t>•Recepción anal</w:t>
            </w:r>
          </w:p>
          <w:p w14:paraId="418213B2" w14:textId="7AD3A306" w:rsidR="001912EE" w:rsidRDefault="001912EE" w:rsidP="001912EE">
            <w:pPr>
              <w:rPr>
                <w:sz w:val="18"/>
                <w:szCs w:val="18"/>
              </w:rPr>
            </w:pPr>
            <w:r w:rsidRPr="001912EE">
              <w:rPr>
                <w:sz w:val="18"/>
                <w:szCs w:val="18"/>
              </w:rPr>
              <w:t>con eyaculación</w:t>
            </w:r>
          </w:p>
        </w:tc>
        <w:tc>
          <w:tcPr>
            <w:tcW w:w="2207" w:type="dxa"/>
          </w:tcPr>
          <w:p w14:paraId="597B75E0" w14:textId="33254A28" w:rsidR="001912EE" w:rsidRPr="001912EE" w:rsidRDefault="001912EE" w:rsidP="001912EE">
            <w:pPr>
              <w:rPr>
                <w:sz w:val="18"/>
                <w:szCs w:val="18"/>
              </w:rPr>
            </w:pPr>
            <w:r w:rsidRPr="001912EE">
              <w:rPr>
                <w:sz w:val="18"/>
                <w:szCs w:val="18"/>
              </w:rPr>
              <w:t>•Recepción vaginal con o sin</w:t>
            </w:r>
            <w:r>
              <w:rPr>
                <w:sz w:val="18"/>
                <w:szCs w:val="18"/>
              </w:rPr>
              <w:t xml:space="preserve"> </w:t>
            </w:r>
            <w:r w:rsidRPr="001912EE">
              <w:rPr>
                <w:sz w:val="18"/>
                <w:szCs w:val="18"/>
              </w:rPr>
              <w:t>eyaculación</w:t>
            </w:r>
          </w:p>
          <w:p w14:paraId="70660AC8" w14:textId="2279A55C" w:rsidR="001912EE" w:rsidRPr="001912EE" w:rsidRDefault="001912EE" w:rsidP="001912EE">
            <w:pPr>
              <w:rPr>
                <w:sz w:val="18"/>
                <w:szCs w:val="18"/>
              </w:rPr>
            </w:pPr>
            <w:r w:rsidRPr="001912EE">
              <w:rPr>
                <w:sz w:val="18"/>
                <w:szCs w:val="18"/>
              </w:rPr>
              <w:t>•Recepción anal sin</w:t>
            </w:r>
            <w:r>
              <w:rPr>
                <w:sz w:val="18"/>
                <w:szCs w:val="18"/>
              </w:rPr>
              <w:t xml:space="preserve"> </w:t>
            </w:r>
            <w:r w:rsidRPr="001912EE">
              <w:rPr>
                <w:sz w:val="18"/>
                <w:szCs w:val="18"/>
              </w:rPr>
              <w:t>eyaculación</w:t>
            </w:r>
          </w:p>
          <w:p w14:paraId="15B896E4" w14:textId="77777777" w:rsidR="001912EE" w:rsidRPr="001912EE" w:rsidRDefault="001912EE" w:rsidP="001912EE">
            <w:pPr>
              <w:rPr>
                <w:sz w:val="18"/>
                <w:szCs w:val="18"/>
              </w:rPr>
            </w:pPr>
            <w:r w:rsidRPr="001912EE">
              <w:rPr>
                <w:sz w:val="18"/>
                <w:szCs w:val="18"/>
              </w:rPr>
              <w:t>•Penetración anal</w:t>
            </w:r>
          </w:p>
          <w:p w14:paraId="65816299" w14:textId="77777777" w:rsidR="001912EE" w:rsidRPr="001912EE" w:rsidRDefault="001912EE" w:rsidP="001912EE">
            <w:pPr>
              <w:rPr>
                <w:sz w:val="18"/>
                <w:szCs w:val="18"/>
              </w:rPr>
            </w:pPr>
            <w:r w:rsidRPr="001912EE">
              <w:rPr>
                <w:sz w:val="18"/>
                <w:szCs w:val="18"/>
              </w:rPr>
              <w:t>•Penetración vaginal</w:t>
            </w:r>
          </w:p>
          <w:p w14:paraId="363A64D0" w14:textId="2FB06325" w:rsidR="001912EE" w:rsidRDefault="001912EE" w:rsidP="001912EE">
            <w:pPr>
              <w:rPr>
                <w:sz w:val="18"/>
                <w:szCs w:val="18"/>
              </w:rPr>
            </w:pPr>
            <w:r w:rsidRPr="001912EE">
              <w:rPr>
                <w:sz w:val="18"/>
                <w:szCs w:val="18"/>
              </w:rPr>
              <w:t>•Relación oro-genital con eyaculación</w:t>
            </w:r>
          </w:p>
        </w:tc>
        <w:tc>
          <w:tcPr>
            <w:tcW w:w="2207" w:type="dxa"/>
          </w:tcPr>
          <w:p w14:paraId="427FC570" w14:textId="57A643F9" w:rsidR="001912EE" w:rsidRPr="001912EE" w:rsidRDefault="001912EE" w:rsidP="001912EE">
            <w:pPr>
              <w:rPr>
                <w:sz w:val="18"/>
                <w:szCs w:val="18"/>
              </w:rPr>
            </w:pPr>
            <w:r w:rsidRPr="001912EE">
              <w:rPr>
                <w:sz w:val="18"/>
                <w:szCs w:val="18"/>
              </w:rPr>
              <w:t>Sexo oro-genital a</w:t>
            </w:r>
            <w:r>
              <w:rPr>
                <w:sz w:val="18"/>
                <w:szCs w:val="18"/>
              </w:rPr>
              <w:t xml:space="preserve"> </w:t>
            </w:r>
            <w:r w:rsidRPr="001912EE">
              <w:rPr>
                <w:sz w:val="18"/>
                <w:szCs w:val="18"/>
              </w:rPr>
              <w:t>hombre</w:t>
            </w:r>
          </w:p>
          <w:p w14:paraId="3AC6425D" w14:textId="77777777" w:rsidR="001912EE" w:rsidRPr="001912EE" w:rsidRDefault="001912EE" w:rsidP="001912EE">
            <w:pPr>
              <w:rPr>
                <w:sz w:val="18"/>
                <w:szCs w:val="18"/>
              </w:rPr>
            </w:pPr>
            <w:r w:rsidRPr="001912EE">
              <w:rPr>
                <w:sz w:val="18"/>
                <w:szCs w:val="18"/>
              </w:rPr>
              <w:t>sin eyaculación</w:t>
            </w:r>
          </w:p>
          <w:p w14:paraId="793A4E89" w14:textId="46B8CF41" w:rsidR="001912EE" w:rsidRDefault="001912EE" w:rsidP="001912EE">
            <w:pPr>
              <w:rPr>
                <w:sz w:val="18"/>
                <w:szCs w:val="18"/>
              </w:rPr>
            </w:pPr>
            <w:r w:rsidRPr="001912EE">
              <w:rPr>
                <w:sz w:val="18"/>
                <w:szCs w:val="18"/>
              </w:rPr>
              <w:t>•Sexo oro-genital</w:t>
            </w:r>
            <w:r>
              <w:rPr>
                <w:sz w:val="18"/>
                <w:szCs w:val="18"/>
              </w:rPr>
              <w:t xml:space="preserve"> </w:t>
            </w:r>
            <w:r w:rsidRPr="001912EE">
              <w:rPr>
                <w:sz w:val="18"/>
                <w:szCs w:val="18"/>
              </w:rPr>
              <w:t xml:space="preserve">a </w:t>
            </w:r>
            <w:proofErr w:type="spellStart"/>
            <w:r w:rsidRPr="001912EE">
              <w:rPr>
                <w:sz w:val="18"/>
                <w:szCs w:val="18"/>
              </w:rPr>
              <w:t>muje</w:t>
            </w:r>
            <w:r>
              <w:rPr>
                <w:sz w:val="18"/>
                <w:szCs w:val="18"/>
              </w:rPr>
              <w:t>R</w:t>
            </w:r>
            <w:proofErr w:type="spellEnd"/>
          </w:p>
        </w:tc>
        <w:tc>
          <w:tcPr>
            <w:tcW w:w="2207" w:type="dxa"/>
          </w:tcPr>
          <w:p w14:paraId="753F586C" w14:textId="77777777" w:rsidR="001912EE" w:rsidRPr="001912EE" w:rsidRDefault="001912EE" w:rsidP="001912EE">
            <w:pPr>
              <w:rPr>
                <w:sz w:val="18"/>
                <w:szCs w:val="18"/>
              </w:rPr>
            </w:pPr>
            <w:r w:rsidRPr="001912EE">
              <w:rPr>
                <w:sz w:val="18"/>
                <w:szCs w:val="18"/>
              </w:rPr>
              <w:t>•Besos</w:t>
            </w:r>
          </w:p>
          <w:p w14:paraId="1A3015AE" w14:textId="77777777" w:rsidR="001912EE" w:rsidRPr="001912EE" w:rsidRDefault="001912EE" w:rsidP="001912EE">
            <w:pPr>
              <w:rPr>
                <w:sz w:val="18"/>
                <w:szCs w:val="18"/>
              </w:rPr>
            </w:pPr>
            <w:r w:rsidRPr="001912EE">
              <w:rPr>
                <w:sz w:val="18"/>
                <w:szCs w:val="18"/>
              </w:rPr>
              <w:t>•Caricias</w:t>
            </w:r>
          </w:p>
          <w:p w14:paraId="41BC8429" w14:textId="77777777" w:rsidR="001912EE" w:rsidRPr="001912EE" w:rsidRDefault="001912EE" w:rsidP="001912EE">
            <w:pPr>
              <w:rPr>
                <w:sz w:val="18"/>
                <w:szCs w:val="18"/>
              </w:rPr>
            </w:pPr>
            <w:r w:rsidRPr="001912EE">
              <w:rPr>
                <w:sz w:val="18"/>
                <w:szCs w:val="18"/>
              </w:rPr>
              <w:t>•Masturbación</w:t>
            </w:r>
          </w:p>
          <w:p w14:paraId="7826EB76" w14:textId="77777777" w:rsidR="001912EE" w:rsidRPr="001912EE" w:rsidRDefault="001912EE" w:rsidP="001912EE">
            <w:pPr>
              <w:rPr>
                <w:sz w:val="18"/>
                <w:szCs w:val="18"/>
              </w:rPr>
            </w:pPr>
            <w:r w:rsidRPr="001912EE">
              <w:rPr>
                <w:sz w:val="18"/>
                <w:szCs w:val="18"/>
              </w:rPr>
              <w:t>•Contacto con</w:t>
            </w:r>
          </w:p>
          <w:p w14:paraId="4CE3C8D7" w14:textId="08241484" w:rsidR="001912EE" w:rsidRDefault="001912EE" w:rsidP="001912EE">
            <w:pPr>
              <w:rPr>
                <w:sz w:val="18"/>
                <w:szCs w:val="18"/>
              </w:rPr>
            </w:pPr>
            <w:r w:rsidRPr="001912EE">
              <w:rPr>
                <w:sz w:val="18"/>
                <w:szCs w:val="18"/>
              </w:rPr>
              <w:t>secreciones con piel íntegra</w:t>
            </w:r>
          </w:p>
        </w:tc>
      </w:tr>
    </w:tbl>
    <w:p w14:paraId="5D7AEAC7" w14:textId="6B33CF29" w:rsidR="001912EE" w:rsidRDefault="001912EE" w:rsidP="001912EE">
      <w:pPr>
        <w:rPr>
          <w:sz w:val="18"/>
          <w:szCs w:val="18"/>
        </w:rPr>
      </w:pPr>
    </w:p>
    <w:p w14:paraId="3D9F557A" w14:textId="670D8813" w:rsidR="001912EE" w:rsidRPr="009B138C" w:rsidRDefault="001912EE" w:rsidP="001912EE">
      <w:pPr>
        <w:rPr>
          <w:b/>
          <w:bCs/>
        </w:rPr>
      </w:pPr>
      <w:r w:rsidRPr="009B138C">
        <w:rPr>
          <w:b/>
          <w:bCs/>
        </w:rPr>
        <w:t xml:space="preserve">Tabla 4. Riesgo estimado de infección tras exposición sexual con fuente VIH desconocido, sin uso de preservativo, rotura o mal uso </w:t>
      </w:r>
      <w:proofErr w:type="gramStart"/>
      <w:r w:rsidRPr="009B138C">
        <w:rPr>
          <w:b/>
          <w:bCs/>
        </w:rPr>
        <w:t>del mismo</w:t>
      </w:r>
      <w:proofErr w:type="gramEnd"/>
      <w:r w:rsidRPr="009B138C">
        <w:rPr>
          <w:b/>
          <w:bCs/>
        </w:rPr>
        <w:t>.</w:t>
      </w:r>
    </w:p>
    <w:p w14:paraId="0D2A26A9" w14:textId="77777777" w:rsidR="001912EE" w:rsidRDefault="001912EE" w:rsidP="001912EE">
      <w:pPr>
        <w:rPr>
          <w:sz w:val="20"/>
          <w:szCs w:val="2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4"/>
        <w:gridCol w:w="2936"/>
        <w:gridCol w:w="2938"/>
      </w:tblGrid>
      <w:tr w:rsidR="001912EE" w14:paraId="5981281C" w14:textId="77777777" w:rsidTr="00451BBE">
        <w:tc>
          <w:tcPr>
            <w:tcW w:w="2942" w:type="dxa"/>
            <w:shd w:val="clear" w:color="auto" w:fill="C9C9C9" w:themeFill="accent3" w:themeFillTint="99"/>
          </w:tcPr>
          <w:p w14:paraId="1EC2D4B2"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bajo*</w:t>
            </w:r>
          </w:p>
          <w:p w14:paraId="76C9162A" w14:textId="336664AA" w:rsidR="001912EE" w:rsidRDefault="001912EE" w:rsidP="001912EE">
            <w:pPr>
              <w:jc w:val="center"/>
              <w:rPr>
                <w:sz w:val="20"/>
                <w:szCs w:val="20"/>
              </w:rPr>
            </w:pPr>
            <w:r>
              <w:rPr>
                <w:rFonts w:ascii="Arial-BoldMT" w:hAnsi="Arial-BoldMT" w:cs="Arial-BoldMT"/>
                <w:b/>
                <w:bCs/>
                <w:sz w:val="18"/>
                <w:szCs w:val="18"/>
              </w:rPr>
              <w:t>0,8 a 3%</w:t>
            </w:r>
          </w:p>
        </w:tc>
        <w:tc>
          <w:tcPr>
            <w:tcW w:w="2943" w:type="dxa"/>
            <w:shd w:val="clear" w:color="auto" w:fill="C9C9C9" w:themeFill="accent3" w:themeFillTint="99"/>
          </w:tcPr>
          <w:p w14:paraId="53F4EEAD"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mínimo*</w:t>
            </w:r>
          </w:p>
          <w:p w14:paraId="1B6446EA" w14:textId="767550EA" w:rsidR="001912EE" w:rsidRDefault="001912EE" w:rsidP="001912EE">
            <w:pPr>
              <w:jc w:val="center"/>
              <w:rPr>
                <w:sz w:val="20"/>
                <w:szCs w:val="20"/>
              </w:rPr>
            </w:pPr>
            <w:r>
              <w:rPr>
                <w:rFonts w:ascii="Arial-BoldMT" w:hAnsi="Arial-BoldMT" w:cs="Arial-BoldMT"/>
                <w:b/>
                <w:bCs/>
                <w:sz w:val="18"/>
                <w:szCs w:val="18"/>
              </w:rPr>
              <w:t>0,05 a 0,8%</w:t>
            </w:r>
          </w:p>
        </w:tc>
        <w:tc>
          <w:tcPr>
            <w:tcW w:w="2943" w:type="dxa"/>
            <w:shd w:val="clear" w:color="auto" w:fill="C9C9C9" w:themeFill="accent3" w:themeFillTint="99"/>
          </w:tcPr>
          <w:p w14:paraId="6BF6B47F" w14:textId="77777777" w:rsidR="001912EE" w:rsidRDefault="001912EE" w:rsidP="001912EE">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despreciable/nulo</w:t>
            </w:r>
          </w:p>
          <w:p w14:paraId="71014A02" w14:textId="727752DC" w:rsidR="001912EE" w:rsidRDefault="001912EE" w:rsidP="001912EE">
            <w:pPr>
              <w:jc w:val="center"/>
              <w:rPr>
                <w:sz w:val="20"/>
                <w:szCs w:val="20"/>
              </w:rPr>
            </w:pPr>
            <w:r>
              <w:rPr>
                <w:rFonts w:ascii="Arial-BoldMT" w:hAnsi="Arial-BoldMT" w:cs="Arial-BoldMT"/>
                <w:b/>
                <w:bCs/>
                <w:sz w:val="18"/>
                <w:szCs w:val="18"/>
              </w:rPr>
              <w:t>0,01 a 0,05%</w:t>
            </w:r>
          </w:p>
        </w:tc>
      </w:tr>
      <w:tr w:rsidR="001912EE" w14:paraId="7640D27F" w14:textId="77777777" w:rsidTr="00451BBE">
        <w:tc>
          <w:tcPr>
            <w:tcW w:w="2942" w:type="dxa"/>
          </w:tcPr>
          <w:p w14:paraId="64EF7DA3" w14:textId="77777777" w:rsidR="001912EE" w:rsidRPr="001912EE" w:rsidRDefault="001912EE" w:rsidP="001912EE">
            <w:pPr>
              <w:rPr>
                <w:sz w:val="20"/>
                <w:szCs w:val="20"/>
              </w:rPr>
            </w:pPr>
            <w:r w:rsidRPr="001912EE">
              <w:rPr>
                <w:sz w:val="20"/>
                <w:szCs w:val="20"/>
              </w:rPr>
              <w:t>•Recepción anal</w:t>
            </w:r>
          </w:p>
          <w:p w14:paraId="4AEC9DE7" w14:textId="52B3B8AB" w:rsidR="001912EE" w:rsidRDefault="001912EE" w:rsidP="001912EE">
            <w:pPr>
              <w:rPr>
                <w:sz w:val="20"/>
                <w:szCs w:val="20"/>
              </w:rPr>
            </w:pPr>
            <w:r w:rsidRPr="001912EE">
              <w:rPr>
                <w:sz w:val="20"/>
                <w:szCs w:val="20"/>
              </w:rPr>
              <w:t>con eyaculación</w:t>
            </w:r>
          </w:p>
        </w:tc>
        <w:tc>
          <w:tcPr>
            <w:tcW w:w="2943" w:type="dxa"/>
          </w:tcPr>
          <w:p w14:paraId="0E89F9B5" w14:textId="77777777" w:rsidR="001912EE" w:rsidRPr="001912EE" w:rsidRDefault="001912EE" w:rsidP="001912EE">
            <w:pPr>
              <w:rPr>
                <w:sz w:val="20"/>
                <w:szCs w:val="20"/>
              </w:rPr>
            </w:pPr>
            <w:r w:rsidRPr="001912EE">
              <w:rPr>
                <w:sz w:val="20"/>
                <w:szCs w:val="20"/>
              </w:rPr>
              <w:t>•Recepción anal sin eyaculación</w:t>
            </w:r>
          </w:p>
          <w:p w14:paraId="71AC7E39" w14:textId="6346B681" w:rsidR="001912EE" w:rsidRPr="001912EE" w:rsidRDefault="001912EE" w:rsidP="001912EE">
            <w:pPr>
              <w:rPr>
                <w:sz w:val="20"/>
                <w:szCs w:val="20"/>
              </w:rPr>
            </w:pPr>
            <w:r w:rsidRPr="001912EE">
              <w:rPr>
                <w:sz w:val="20"/>
                <w:szCs w:val="20"/>
              </w:rPr>
              <w:t>•Recepción vaginal</w:t>
            </w:r>
            <w:r>
              <w:rPr>
                <w:sz w:val="20"/>
                <w:szCs w:val="20"/>
              </w:rPr>
              <w:t xml:space="preserve"> </w:t>
            </w:r>
            <w:r w:rsidRPr="001912EE">
              <w:rPr>
                <w:sz w:val="20"/>
                <w:szCs w:val="20"/>
              </w:rPr>
              <w:t>con o sin</w:t>
            </w:r>
            <w:r>
              <w:rPr>
                <w:sz w:val="20"/>
                <w:szCs w:val="20"/>
              </w:rPr>
              <w:t xml:space="preserve"> </w:t>
            </w:r>
            <w:r w:rsidRPr="001912EE">
              <w:rPr>
                <w:sz w:val="20"/>
                <w:szCs w:val="20"/>
              </w:rPr>
              <w:t>eyaculación</w:t>
            </w:r>
          </w:p>
          <w:p w14:paraId="0173363D" w14:textId="77777777" w:rsidR="001912EE" w:rsidRPr="001912EE" w:rsidRDefault="001912EE" w:rsidP="001912EE">
            <w:pPr>
              <w:rPr>
                <w:sz w:val="20"/>
                <w:szCs w:val="20"/>
              </w:rPr>
            </w:pPr>
            <w:r w:rsidRPr="001912EE">
              <w:rPr>
                <w:sz w:val="20"/>
                <w:szCs w:val="20"/>
              </w:rPr>
              <w:t>•Penetración anal</w:t>
            </w:r>
          </w:p>
          <w:p w14:paraId="3BF47A6F" w14:textId="77777777" w:rsidR="001912EE" w:rsidRPr="001912EE" w:rsidRDefault="001912EE" w:rsidP="001912EE">
            <w:pPr>
              <w:rPr>
                <w:sz w:val="20"/>
                <w:szCs w:val="20"/>
              </w:rPr>
            </w:pPr>
            <w:r w:rsidRPr="001912EE">
              <w:rPr>
                <w:sz w:val="20"/>
                <w:szCs w:val="20"/>
              </w:rPr>
              <w:t>•Penetración vaginal</w:t>
            </w:r>
          </w:p>
          <w:p w14:paraId="2D09B79D" w14:textId="77777777" w:rsidR="001912EE" w:rsidRPr="001912EE" w:rsidRDefault="001912EE" w:rsidP="001912EE">
            <w:pPr>
              <w:rPr>
                <w:sz w:val="20"/>
                <w:szCs w:val="20"/>
              </w:rPr>
            </w:pPr>
            <w:r w:rsidRPr="001912EE">
              <w:rPr>
                <w:sz w:val="20"/>
                <w:szCs w:val="20"/>
              </w:rPr>
              <w:t>•Relación sexual oral con o sin</w:t>
            </w:r>
          </w:p>
          <w:p w14:paraId="727277B0" w14:textId="68D5C552" w:rsidR="001912EE" w:rsidRDefault="001912EE" w:rsidP="001912EE">
            <w:pPr>
              <w:rPr>
                <w:sz w:val="20"/>
                <w:szCs w:val="20"/>
              </w:rPr>
            </w:pPr>
            <w:r w:rsidRPr="001912EE">
              <w:rPr>
                <w:sz w:val="20"/>
                <w:szCs w:val="20"/>
              </w:rPr>
              <w:t>eyaculación</w:t>
            </w:r>
          </w:p>
        </w:tc>
        <w:tc>
          <w:tcPr>
            <w:tcW w:w="2943" w:type="dxa"/>
          </w:tcPr>
          <w:p w14:paraId="7D1CBAB4" w14:textId="77777777" w:rsidR="001912EE" w:rsidRPr="001912EE" w:rsidRDefault="001912EE" w:rsidP="001912EE">
            <w:pPr>
              <w:rPr>
                <w:sz w:val="20"/>
                <w:szCs w:val="20"/>
              </w:rPr>
            </w:pPr>
            <w:r w:rsidRPr="001912EE">
              <w:rPr>
                <w:sz w:val="20"/>
                <w:szCs w:val="20"/>
              </w:rPr>
              <w:t>•Besos</w:t>
            </w:r>
          </w:p>
          <w:p w14:paraId="52337EC8" w14:textId="77777777" w:rsidR="001912EE" w:rsidRPr="001912EE" w:rsidRDefault="001912EE" w:rsidP="001912EE">
            <w:pPr>
              <w:rPr>
                <w:sz w:val="20"/>
                <w:szCs w:val="20"/>
              </w:rPr>
            </w:pPr>
            <w:r w:rsidRPr="001912EE">
              <w:rPr>
                <w:sz w:val="20"/>
                <w:szCs w:val="20"/>
              </w:rPr>
              <w:t>•Caricias</w:t>
            </w:r>
          </w:p>
          <w:p w14:paraId="1C938E02" w14:textId="77777777" w:rsidR="001912EE" w:rsidRPr="001912EE" w:rsidRDefault="001912EE" w:rsidP="001912EE">
            <w:pPr>
              <w:rPr>
                <w:sz w:val="20"/>
                <w:szCs w:val="20"/>
              </w:rPr>
            </w:pPr>
            <w:r w:rsidRPr="001912EE">
              <w:rPr>
                <w:sz w:val="20"/>
                <w:szCs w:val="20"/>
              </w:rPr>
              <w:t>•Masturbación</w:t>
            </w:r>
          </w:p>
          <w:p w14:paraId="2C6693CC" w14:textId="6E991FB8" w:rsidR="001912EE" w:rsidRDefault="001912EE" w:rsidP="001912EE">
            <w:pPr>
              <w:rPr>
                <w:sz w:val="20"/>
                <w:szCs w:val="20"/>
              </w:rPr>
            </w:pPr>
            <w:r w:rsidRPr="001912EE">
              <w:rPr>
                <w:sz w:val="20"/>
                <w:szCs w:val="20"/>
              </w:rPr>
              <w:t>•Contacto con secreciones</w:t>
            </w:r>
            <w:r>
              <w:rPr>
                <w:sz w:val="20"/>
                <w:szCs w:val="20"/>
              </w:rPr>
              <w:t xml:space="preserve"> </w:t>
            </w:r>
            <w:r w:rsidRPr="001912EE">
              <w:rPr>
                <w:sz w:val="20"/>
                <w:szCs w:val="20"/>
              </w:rPr>
              <w:t>con piel integra</w:t>
            </w:r>
          </w:p>
        </w:tc>
      </w:tr>
    </w:tbl>
    <w:p w14:paraId="20B5AA12" w14:textId="77777777" w:rsidR="001912EE" w:rsidRDefault="001912EE" w:rsidP="001912EE">
      <w:pPr>
        <w:rPr>
          <w:sz w:val="18"/>
          <w:szCs w:val="18"/>
        </w:rPr>
      </w:pPr>
    </w:p>
    <w:p w14:paraId="2544E00D" w14:textId="7021C8BE" w:rsidR="001912EE" w:rsidRPr="009B138C" w:rsidRDefault="008365D9" w:rsidP="001912EE">
      <w:r w:rsidRPr="009B138C">
        <w:t>*</w:t>
      </w:r>
      <w:r w:rsidR="001912EE" w:rsidRPr="009B138C">
        <w:t xml:space="preserve"> El riesgo es mayor si la fuente tiene alta probabilidad de estar infectada por el VIH (por ejemplo, pertenece a una población clave). En general, el riesgo bajo pasa a ser considerable y el riesgo mínimo pasa a ser bajo en pacientes cirróticos.</w:t>
      </w:r>
    </w:p>
    <w:p w14:paraId="5B1F26C5" w14:textId="35582241" w:rsidR="008365D9" w:rsidRPr="009B138C" w:rsidRDefault="008365D9" w:rsidP="008365D9">
      <w:pPr>
        <w:rPr>
          <w:b/>
          <w:bCs/>
        </w:rPr>
      </w:pPr>
      <w:r w:rsidRPr="009B138C">
        <w:rPr>
          <w:b/>
          <w:bCs/>
        </w:rPr>
        <w:t>Tabla 5. Riesgo estimado de infección por VIH tras diferentes tipos de exposición parenterales con fuente VIH + o desconocido. 1</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6"/>
        <w:gridCol w:w="2936"/>
        <w:gridCol w:w="2936"/>
      </w:tblGrid>
      <w:tr w:rsidR="00871F84" w14:paraId="78980944" w14:textId="77777777" w:rsidTr="00451BBE">
        <w:tc>
          <w:tcPr>
            <w:tcW w:w="2942" w:type="dxa"/>
            <w:shd w:val="clear" w:color="auto" w:fill="C9C9C9" w:themeFill="accent3" w:themeFillTint="99"/>
          </w:tcPr>
          <w:p w14:paraId="2020A780" w14:textId="05EB0ACD" w:rsidR="00871F84" w:rsidRPr="00871F84" w:rsidRDefault="00871F84" w:rsidP="00871F84">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considerable 0,8 a 3%</w:t>
            </w:r>
          </w:p>
        </w:tc>
        <w:tc>
          <w:tcPr>
            <w:tcW w:w="2943" w:type="dxa"/>
            <w:shd w:val="clear" w:color="auto" w:fill="C9C9C9" w:themeFill="accent3" w:themeFillTint="99"/>
          </w:tcPr>
          <w:p w14:paraId="1FC6A435" w14:textId="69C48728" w:rsidR="00871F84" w:rsidRPr="00871F84" w:rsidRDefault="00871F84" w:rsidP="00871F84">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Bajo 0,05 a 0,8%</w:t>
            </w:r>
          </w:p>
        </w:tc>
        <w:tc>
          <w:tcPr>
            <w:tcW w:w="2943" w:type="dxa"/>
            <w:shd w:val="clear" w:color="auto" w:fill="C9C9C9" w:themeFill="accent3" w:themeFillTint="99"/>
          </w:tcPr>
          <w:p w14:paraId="22963C67" w14:textId="1FE79D69" w:rsidR="00871F84" w:rsidRPr="00871F84" w:rsidRDefault="00871F84" w:rsidP="00871F84">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mínimo 0,01 a 0,05%</w:t>
            </w:r>
          </w:p>
        </w:tc>
      </w:tr>
      <w:tr w:rsidR="00871F84" w14:paraId="76545031" w14:textId="77777777" w:rsidTr="00451BBE">
        <w:tc>
          <w:tcPr>
            <w:tcW w:w="2942" w:type="dxa"/>
          </w:tcPr>
          <w:p w14:paraId="684C254C" w14:textId="77777777" w:rsidR="00871F84" w:rsidRPr="00871F84" w:rsidRDefault="00871F84" w:rsidP="00871F84">
            <w:pPr>
              <w:rPr>
                <w:sz w:val="20"/>
                <w:szCs w:val="20"/>
              </w:rPr>
            </w:pPr>
            <w:r w:rsidRPr="00871F84">
              <w:rPr>
                <w:sz w:val="20"/>
                <w:szCs w:val="20"/>
              </w:rPr>
              <w:t>•Compartir jeringuillas o agujas usadas.</w:t>
            </w:r>
          </w:p>
          <w:p w14:paraId="4C3FB0B2" w14:textId="77777777" w:rsidR="00871F84" w:rsidRPr="00871F84" w:rsidRDefault="00871F84" w:rsidP="00871F84">
            <w:pPr>
              <w:rPr>
                <w:sz w:val="20"/>
                <w:szCs w:val="20"/>
              </w:rPr>
            </w:pPr>
            <w:r w:rsidRPr="00871F84">
              <w:rPr>
                <w:sz w:val="20"/>
                <w:szCs w:val="20"/>
              </w:rPr>
              <w:t>•Pinchazo profundo o con abundante sangrado</w:t>
            </w:r>
          </w:p>
          <w:p w14:paraId="426A7F92" w14:textId="77777777" w:rsidR="00871F84" w:rsidRPr="00871F84" w:rsidRDefault="00871F84" w:rsidP="00871F84">
            <w:pPr>
              <w:rPr>
                <w:sz w:val="20"/>
                <w:szCs w:val="20"/>
              </w:rPr>
            </w:pPr>
            <w:r w:rsidRPr="00871F84">
              <w:rPr>
                <w:sz w:val="20"/>
                <w:szCs w:val="20"/>
              </w:rPr>
              <w:t>con jeringa, de forma</w:t>
            </w:r>
          </w:p>
          <w:p w14:paraId="0AACD4E4" w14:textId="77777777" w:rsidR="00871F84" w:rsidRPr="00871F84" w:rsidRDefault="00871F84" w:rsidP="00871F84">
            <w:pPr>
              <w:rPr>
                <w:sz w:val="20"/>
                <w:szCs w:val="20"/>
              </w:rPr>
            </w:pPr>
            <w:r w:rsidRPr="00871F84">
              <w:rPr>
                <w:sz w:val="20"/>
                <w:szCs w:val="20"/>
              </w:rPr>
              <w:t>inmediata tras uso</w:t>
            </w:r>
          </w:p>
          <w:p w14:paraId="7BA86B56" w14:textId="236FE1EE" w:rsidR="00871F84" w:rsidRDefault="00871F84" w:rsidP="00871F84">
            <w:pPr>
              <w:rPr>
                <w:b/>
                <w:bCs/>
                <w:sz w:val="20"/>
                <w:szCs w:val="20"/>
              </w:rPr>
            </w:pPr>
            <w:r w:rsidRPr="00871F84">
              <w:rPr>
                <w:sz w:val="20"/>
                <w:szCs w:val="20"/>
              </w:rPr>
              <w:t>por fuente desconocida</w:t>
            </w:r>
          </w:p>
        </w:tc>
        <w:tc>
          <w:tcPr>
            <w:tcW w:w="2943" w:type="dxa"/>
          </w:tcPr>
          <w:p w14:paraId="46C281FA" w14:textId="77777777" w:rsidR="00871F84" w:rsidRPr="00871F84" w:rsidRDefault="00871F84" w:rsidP="00871F84">
            <w:pPr>
              <w:rPr>
                <w:sz w:val="20"/>
                <w:szCs w:val="20"/>
              </w:rPr>
            </w:pPr>
            <w:r w:rsidRPr="00871F84">
              <w:rPr>
                <w:sz w:val="20"/>
                <w:szCs w:val="20"/>
              </w:rPr>
              <w:t>•Uso de jeringuilla de origen</w:t>
            </w:r>
          </w:p>
          <w:p w14:paraId="2F0126FE" w14:textId="77777777" w:rsidR="00871F84" w:rsidRPr="00871F84" w:rsidRDefault="00871F84" w:rsidP="00871F84">
            <w:pPr>
              <w:rPr>
                <w:sz w:val="20"/>
                <w:szCs w:val="20"/>
              </w:rPr>
            </w:pPr>
            <w:r w:rsidRPr="00871F84">
              <w:rPr>
                <w:sz w:val="20"/>
                <w:szCs w:val="20"/>
              </w:rPr>
              <w:t>desconocido</w:t>
            </w:r>
          </w:p>
          <w:p w14:paraId="24135B4C" w14:textId="60A77AC1" w:rsidR="00871F84" w:rsidRPr="00871F84" w:rsidRDefault="00871F84" w:rsidP="00871F84">
            <w:pPr>
              <w:rPr>
                <w:sz w:val="20"/>
                <w:szCs w:val="20"/>
              </w:rPr>
            </w:pPr>
            <w:r w:rsidRPr="00871F84">
              <w:rPr>
                <w:sz w:val="20"/>
                <w:szCs w:val="20"/>
              </w:rPr>
              <w:t>•Pinchazo superficial tras uso por caso</w:t>
            </w:r>
            <w:r>
              <w:rPr>
                <w:sz w:val="20"/>
                <w:szCs w:val="20"/>
              </w:rPr>
              <w:t xml:space="preserve"> </w:t>
            </w:r>
            <w:r w:rsidRPr="00871F84">
              <w:rPr>
                <w:sz w:val="20"/>
                <w:szCs w:val="20"/>
              </w:rPr>
              <w:t>fuente</w:t>
            </w:r>
          </w:p>
          <w:p w14:paraId="072AC957" w14:textId="529E9677" w:rsidR="00871F84" w:rsidRPr="00871F84" w:rsidRDefault="00871F84" w:rsidP="00871F84">
            <w:pPr>
              <w:rPr>
                <w:sz w:val="20"/>
                <w:szCs w:val="20"/>
              </w:rPr>
            </w:pPr>
            <w:r w:rsidRPr="00871F84">
              <w:rPr>
                <w:sz w:val="20"/>
                <w:szCs w:val="20"/>
              </w:rPr>
              <w:t>•Contacto abundante con sangre del</w:t>
            </w:r>
            <w:r>
              <w:rPr>
                <w:sz w:val="20"/>
                <w:szCs w:val="20"/>
              </w:rPr>
              <w:t xml:space="preserve"> </w:t>
            </w:r>
            <w:r w:rsidRPr="00871F84">
              <w:rPr>
                <w:sz w:val="20"/>
                <w:szCs w:val="20"/>
              </w:rPr>
              <w:t>caso fuente con mucosas del</w:t>
            </w:r>
            <w:r>
              <w:rPr>
                <w:sz w:val="20"/>
                <w:szCs w:val="20"/>
              </w:rPr>
              <w:t xml:space="preserve"> </w:t>
            </w:r>
            <w:r w:rsidRPr="00871F84">
              <w:rPr>
                <w:sz w:val="20"/>
                <w:szCs w:val="20"/>
              </w:rPr>
              <w:t>sujeto</w:t>
            </w:r>
            <w:r>
              <w:rPr>
                <w:sz w:val="20"/>
                <w:szCs w:val="20"/>
              </w:rPr>
              <w:t xml:space="preserve"> </w:t>
            </w:r>
            <w:r w:rsidRPr="00871F84">
              <w:rPr>
                <w:sz w:val="20"/>
                <w:szCs w:val="20"/>
              </w:rPr>
              <w:t>afectado</w:t>
            </w:r>
          </w:p>
        </w:tc>
        <w:tc>
          <w:tcPr>
            <w:tcW w:w="2943" w:type="dxa"/>
          </w:tcPr>
          <w:p w14:paraId="5D95F8BC" w14:textId="77777777" w:rsidR="00871F84" w:rsidRPr="00871F84" w:rsidRDefault="00871F84" w:rsidP="00871F84">
            <w:pPr>
              <w:rPr>
                <w:sz w:val="20"/>
                <w:szCs w:val="20"/>
              </w:rPr>
            </w:pPr>
            <w:r w:rsidRPr="00871F84">
              <w:rPr>
                <w:sz w:val="20"/>
                <w:szCs w:val="20"/>
              </w:rPr>
              <w:t>•Compartir resto de material de inyección</w:t>
            </w:r>
          </w:p>
          <w:p w14:paraId="5D743104" w14:textId="77777777" w:rsidR="00871F84" w:rsidRPr="00871F84" w:rsidRDefault="00871F84" w:rsidP="00871F84">
            <w:pPr>
              <w:rPr>
                <w:sz w:val="20"/>
                <w:szCs w:val="20"/>
              </w:rPr>
            </w:pPr>
            <w:r w:rsidRPr="00871F84">
              <w:rPr>
                <w:sz w:val="20"/>
                <w:szCs w:val="20"/>
              </w:rPr>
              <w:t>(recipiente, cuchara, algodón, filtro, etc.)</w:t>
            </w:r>
          </w:p>
          <w:p w14:paraId="0F7AD544" w14:textId="3ED41B92" w:rsidR="00871F84" w:rsidRPr="00871F84" w:rsidRDefault="00871F84" w:rsidP="00871F84">
            <w:pPr>
              <w:rPr>
                <w:sz w:val="20"/>
                <w:szCs w:val="20"/>
              </w:rPr>
            </w:pPr>
            <w:r w:rsidRPr="00871F84">
              <w:rPr>
                <w:sz w:val="20"/>
                <w:szCs w:val="20"/>
              </w:rPr>
              <w:t>• Pinchazo accidental con poco sangrado</w:t>
            </w:r>
            <w:r>
              <w:rPr>
                <w:sz w:val="20"/>
                <w:szCs w:val="20"/>
              </w:rPr>
              <w:t xml:space="preserve"> </w:t>
            </w:r>
            <w:r w:rsidRPr="00871F84">
              <w:rPr>
                <w:sz w:val="20"/>
                <w:szCs w:val="20"/>
              </w:rPr>
              <w:t>con aguja de jeringa de</w:t>
            </w:r>
            <w:r>
              <w:rPr>
                <w:sz w:val="20"/>
                <w:szCs w:val="20"/>
              </w:rPr>
              <w:t xml:space="preserve"> </w:t>
            </w:r>
            <w:r w:rsidRPr="00871F84">
              <w:rPr>
                <w:sz w:val="20"/>
                <w:szCs w:val="20"/>
              </w:rPr>
              <w:t>procedencia</w:t>
            </w:r>
            <w:r>
              <w:rPr>
                <w:sz w:val="20"/>
                <w:szCs w:val="20"/>
              </w:rPr>
              <w:t xml:space="preserve"> </w:t>
            </w:r>
            <w:r w:rsidRPr="00871F84">
              <w:rPr>
                <w:sz w:val="20"/>
                <w:szCs w:val="20"/>
              </w:rPr>
              <w:t>desconocida</w:t>
            </w:r>
          </w:p>
        </w:tc>
      </w:tr>
    </w:tbl>
    <w:p w14:paraId="1126E5FE" w14:textId="77777777" w:rsidR="00871F84" w:rsidRPr="008365D9" w:rsidRDefault="00871F84" w:rsidP="008365D9">
      <w:pPr>
        <w:rPr>
          <w:b/>
          <w:bCs/>
          <w:sz w:val="20"/>
          <w:szCs w:val="20"/>
        </w:rPr>
      </w:pPr>
    </w:p>
    <w:p w14:paraId="5D6C41EC" w14:textId="174C5C61" w:rsidR="001912EE" w:rsidRPr="009B138C" w:rsidRDefault="00871F84" w:rsidP="00871F84">
      <w:r w:rsidRPr="009B138C">
        <w:t>Adicionalmente a las circunstancias antes detalladas es preciso tener en cuenta aquellas que impliquen un aumento del riesgo de transmisión. Estas serían:</w:t>
      </w:r>
    </w:p>
    <w:p w14:paraId="4597FC94" w14:textId="25FFF4DB" w:rsidR="00871F84" w:rsidRPr="009B138C" w:rsidRDefault="00871F84" w:rsidP="00871F84">
      <w:r w:rsidRPr="009B138C">
        <w:t>• El grado de infectividad de la persona fuente: la infección aguda por VIH, la enfermedad avanzada con niveles bajos de CD4+ (&lt;350 células/ml) o eventos Sida si la fuente no está recibiendo TAR, así como la presencia de una carga viral del VIH &gt;5.000 copias/</w:t>
      </w:r>
      <w:proofErr w:type="spellStart"/>
      <w:r w:rsidRPr="009B138C">
        <w:t>mL</w:t>
      </w:r>
      <w:proofErr w:type="spellEnd"/>
      <w:r w:rsidRPr="009B138C">
        <w:t>.</w:t>
      </w:r>
    </w:p>
    <w:p w14:paraId="751C597B" w14:textId="72C1989F" w:rsidR="001912EE" w:rsidRPr="009B138C" w:rsidRDefault="00871F84" w:rsidP="00871F84">
      <w:r w:rsidRPr="009B138C">
        <w:t>• La presencia de sangrado, menstruación, úlceras sangrantes o ITS.</w:t>
      </w:r>
    </w:p>
    <w:p w14:paraId="69491D2C" w14:textId="7B46C38B" w:rsidR="001912EE" w:rsidRPr="009B138C" w:rsidRDefault="00871F84" w:rsidP="00871F84">
      <w:r w:rsidRPr="009B138C">
        <w:t>Con anterioridad ya se han comentado otras circunstancias en las que se recomienda valorar la profilaxis PERBNO (fuente HSH, PID, etc.). Todo ello justifica que la valoración del riesgo deba ser individualizada.</w:t>
      </w:r>
    </w:p>
    <w:p w14:paraId="6C557B7A" w14:textId="77777777" w:rsidR="00871F84" w:rsidRPr="009B138C" w:rsidRDefault="00871F84" w:rsidP="00871F84">
      <w:pPr>
        <w:rPr>
          <w:b/>
          <w:bCs/>
        </w:rPr>
      </w:pPr>
    </w:p>
    <w:p w14:paraId="64C8A3C1" w14:textId="291F8D64" w:rsidR="00871F84" w:rsidRDefault="00871F84" w:rsidP="00871F84">
      <w:pPr>
        <w:rPr>
          <w:b/>
          <w:bCs/>
        </w:rPr>
      </w:pPr>
      <w:r w:rsidRPr="009B138C">
        <w:rPr>
          <w:b/>
          <w:bCs/>
        </w:rPr>
        <w:t xml:space="preserve">Tabla 6. Recomendaciones de Profilaxis </w:t>
      </w:r>
      <w:proofErr w:type="spellStart"/>
      <w:r w:rsidRPr="009B138C">
        <w:rPr>
          <w:b/>
          <w:bCs/>
        </w:rPr>
        <w:t>post-exposición</w:t>
      </w:r>
      <w:proofErr w:type="spellEnd"/>
      <w:r w:rsidRPr="009B138C">
        <w:rPr>
          <w:b/>
          <w:bCs/>
        </w:rPr>
        <w:t xml:space="preserve"> No ocupacional (PPENO)11</w:t>
      </w:r>
    </w:p>
    <w:p w14:paraId="3A7FF83D" w14:textId="5A631DDE" w:rsidR="009B138C" w:rsidRDefault="009B138C" w:rsidP="00871F84">
      <w:pPr>
        <w:rPr>
          <w:b/>
          <w:bCs/>
        </w:rPr>
      </w:pPr>
    </w:p>
    <w:p w14:paraId="277DA218" w14:textId="19C04165" w:rsidR="009B138C" w:rsidRDefault="009B138C" w:rsidP="00871F84">
      <w:pPr>
        <w:rPr>
          <w:b/>
          <w:bCs/>
        </w:rPr>
      </w:pPr>
    </w:p>
    <w:p w14:paraId="7F998EE3" w14:textId="77777777" w:rsidR="009B138C" w:rsidRPr="009B138C" w:rsidRDefault="009B138C" w:rsidP="00871F84">
      <w:pPr>
        <w:rPr>
          <w:b/>
          <w:bCs/>
        </w:rPr>
      </w:pPr>
    </w:p>
    <w:tbl>
      <w:tblPr>
        <w:tblStyle w:val="Tablaconcuadrcula"/>
        <w:tblpPr w:leftFromText="141" w:rightFromText="141"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5"/>
        <w:gridCol w:w="2936"/>
        <w:gridCol w:w="2937"/>
      </w:tblGrid>
      <w:tr w:rsidR="00871F84" w14:paraId="7CE101A4" w14:textId="77777777" w:rsidTr="00451BBE">
        <w:tc>
          <w:tcPr>
            <w:tcW w:w="2942" w:type="dxa"/>
            <w:shd w:val="clear" w:color="auto" w:fill="C9C9C9" w:themeFill="accent3" w:themeFillTint="99"/>
          </w:tcPr>
          <w:p w14:paraId="7DC6FEBD" w14:textId="4222788D" w:rsidR="00871F84" w:rsidRDefault="00C61E51" w:rsidP="00AF04CF">
            <w:pPr>
              <w:jc w:val="center"/>
              <w:rPr>
                <w:b/>
                <w:bCs/>
                <w:sz w:val="20"/>
                <w:szCs w:val="20"/>
              </w:rPr>
            </w:pPr>
            <w:r>
              <w:rPr>
                <w:rFonts w:ascii="Arial-BoldMT" w:hAnsi="Arial-BoldMT" w:cs="Arial-BoldMT"/>
                <w:b/>
                <w:bCs/>
                <w:sz w:val="18"/>
                <w:szCs w:val="18"/>
              </w:rPr>
              <w:t>Tipo de exposición</w:t>
            </w:r>
          </w:p>
        </w:tc>
        <w:tc>
          <w:tcPr>
            <w:tcW w:w="2943" w:type="dxa"/>
            <w:shd w:val="clear" w:color="auto" w:fill="C9C9C9" w:themeFill="accent3" w:themeFillTint="99"/>
          </w:tcPr>
          <w:p w14:paraId="3F267904" w14:textId="77777777" w:rsidR="00C61E51" w:rsidRDefault="00C61E51" w:rsidP="00AF04CF">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Riesgo de transmisión según</w:t>
            </w:r>
          </w:p>
          <w:p w14:paraId="56279F75" w14:textId="41FD69A4" w:rsidR="00871F84" w:rsidRDefault="00C61E51" w:rsidP="00AF04CF">
            <w:pPr>
              <w:jc w:val="center"/>
              <w:rPr>
                <w:b/>
                <w:bCs/>
                <w:sz w:val="20"/>
                <w:szCs w:val="20"/>
              </w:rPr>
            </w:pPr>
            <w:r>
              <w:rPr>
                <w:rFonts w:ascii="Arial-BoldMT" w:hAnsi="Arial-BoldMT" w:cs="Arial-BoldMT"/>
                <w:b/>
                <w:bCs/>
                <w:sz w:val="18"/>
                <w:szCs w:val="18"/>
              </w:rPr>
              <w:t>Fuente</w:t>
            </w:r>
          </w:p>
        </w:tc>
        <w:tc>
          <w:tcPr>
            <w:tcW w:w="2943" w:type="dxa"/>
            <w:shd w:val="clear" w:color="auto" w:fill="C9C9C9" w:themeFill="accent3" w:themeFillTint="99"/>
          </w:tcPr>
          <w:p w14:paraId="491D1CA7" w14:textId="235BC593" w:rsidR="00871F84" w:rsidRDefault="00C61E51" w:rsidP="00AF04CF">
            <w:pPr>
              <w:jc w:val="center"/>
              <w:rPr>
                <w:b/>
                <w:bCs/>
                <w:sz w:val="20"/>
                <w:szCs w:val="20"/>
              </w:rPr>
            </w:pPr>
            <w:r>
              <w:rPr>
                <w:rFonts w:ascii="Arial-BoldMT" w:hAnsi="Arial-BoldMT" w:cs="Arial-BoldMT"/>
                <w:b/>
                <w:bCs/>
                <w:sz w:val="18"/>
                <w:szCs w:val="18"/>
              </w:rPr>
              <w:t>Recomendación</w:t>
            </w:r>
          </w:p>
        </w:tc>
      </w:tr>
      <w:tr w:rsidR="00871F84" w14:paraId="4E844037" w14:textId="77777777" w:rsidTr="00451BBE">
        <w:tc>
          <w:tcPr>
            <w:tcW w:w="2942" w:type="dxa"/>
          </w:tcPr>
          <w:p w14:paraId="30C38B60" w14:textId="77777777" w:rsidR="00C61E51" w:rsidRPr="00C61E51" w:rsidRDefault="00C61E51" w:rsidP="00AF04CF">
            <w:pPr>
              <w:rPr>
                <w:sz w:val="20"/>
                <w:szCs w:val="20"/>
              </w:rPr>
            </w:pPr>
            <w:r w:rsidRPr="00C61E51">
              <w:rPr>
                <w:sz w:val="20"/>
                <w:szCs w:val="20"/>
              </w:rPr>
              <w:t>•Relación sexual anal o vaginal,</w:t>
            </w:r>
          </w:p>
          <w:p w14:paraId="58C6B0D9" w14:textId="77777777" w:rsidR="00C61E51" w:rsidRPr="00C61E51" w:rsidRDefault="00C61E51" w:rsidP="00AF04CF">
            <w:pPr>
              <w:rPr>
                <w:sz w:val="20"/>
                <w:szCs w:val="20"/>
              </w:rPr>
            </w:pPr>
            <w:r w:rsidRPr="00C61E51">
              <w:rPr>
                <w:sz w:val="20"/>
                <w:szCs w:val="20"/>
              </w:rPr>
              <w:t xml:space="preserve">receptiva o </w:t>
            </w:r>
            <w:proofErr w:type="spellStart"/>
            <w:r w:rsidRPr="00C61E51">
              <w:rPr>
                <w:sz w:val="20"/>
                <w:szCs w:val="20"/>
              </w:rPr>
              <w:t>insertiva</w:t>
            </w:r>
            <w:proofErr w:type="spellEnd"/>
            <w:r w:rsidRPr="00C61E51">
              <w:rPr>
                <w:sz w:val="20"/>
                <w:szCs w:val="20"/>
              </w:rPr>
              <w:t xml:space="preserve">, sin preservativo o mal uso </w:t>
            </w:r>
            <w:proofErr w:type="gramStart"/>
            <w:r w:rsidRPr="00C61E51">
              <w:rPr>
                <w:sz w:val="20"/>
                <w:szCs w:val="20"/>
              </w:rPr>
              <w:t>del mismo</w:t>
            </w:r>
            <w:proofErr w:type="gramEnd"/>
            <w:r w:rsidRPr="00C61E51">
              <w:rPr>
                <w:sz w:val="20"/>
                <w:szCs w:val="20"/>
              </w:rPr>
              <w:t>.</w:t>
            </w:r>
          </w:p>
          <w:p w14:paraId="597B6B68" w14:textId="699EED89" w:rsidR="00C61E51" w:rsidRPr="00C61E51" w:rsidRDefault="00C61E51" w:rsidP="00AF04CF">
            <w:pPr>
              <w:rPr>
                <w:sz w:val="20"/>
                <w:szCs w:val="20"/>
              </w:rPr>
            </w:pPr>
            <w:r w:rsidRPr="00C61E51">
              <w:rPr>
                <w:sz w:val="20"/>
                <w:szCs w:val="20"/>
              </w:rPr>
              <w:t>•Compartir jeringuillas o agujas</w:t>
            </w:r>
            <w:r>
              <w:rPr>
                <w:sz w:val="20"/>
                <w:szCs w:val="20"/>
              </w:rPr>
              <w:t xml:space="preserve"> </w:t>
            </w:r>
            <w:r w:rsidRPr="00C61E51">
              <w:rPr>
                <w:sz w:val="20"/>
                <w:szCs w:val="20"/>
              </w:rPr>
              <w:t>con PID</w:t>
            </w:r>
          </w:p>
          <w:p w14:paraId="5F08DBA6" w14:textId="6C8EF6F3" w:rsidR="00871F84" w:rsidRPr="00C61E51" w:rsidRDefault="00C61E51" w:rsidP="00AF04CF">
            <w:pPr>
              <w:rPr>
                <w:sz w:val="20"/>
                <w:szCs w:val="20"/>
              </w:rPr>
            </w:pPr>
            <w:r w:rsidRPr="00C61E51">
              <w:rPr>
                <w:sz w:val="20"/>
                <w:szCs w:val="20"/>
              </w:rPr>
              <w:t>•Pinchazo percutáneo con exposición a sangre u otros fluidos</w:t>
            </w:r>
            <w:r>
              <w:rPr>
                <w:sz w:val="20"/>
                <w:szCs w:val="20"/>
              </w:rPr>
              <w:t xml:space="preserve"> </w:t>
            </w:r>
            <w:r w:rsidRPr="00C61E51">
              <w:rPr>
                <w:sz w:val="20"/>
                <w:szCs w:val="20"/>
              </w:rPr>
              <w:t>potencialmente</w:t>
            </w:r>
            <w:r>
              <w:rPr>
                <w:sz w:val="20"/>
                <w:szCs w:val="20"/>
              </w:rPr>
              <w:t xml:space="preserve"> </w:t>
            </w:r>
            <w:r w:rsidRPr="00C61E51">
              <w:rPr>
                <w:sz w:val="20"/>
                <w:szCs w:val="20"/>
              </w:rPr>
              <w:t>infectantes (1)</w:t>
            </w:r>
          </w:p>
        </w:tc>
        <w:tc>
          <w:tcPr>
            <w:tcW w:w="2943" w:type="dxa"/>
          </w:tcPr>
          <w:p w14:paraId="3BD54783" w14:textId="77777777" w:rsidR="00C61E51" w:rsidRPr="00C61E51" w:rsidRDefault="00C61E51" w:rsidP="00AF04CF">
            <w:pPr>
              <w:rPr>
                <w:sz w:val="20"/>
                <w:szCs w:val="20"/>
              </w:rPr>
            </w:pPr>
            <w:r w:rsidRPr="00C61E51">
              <w:rPr>
                <w:sz w:val="20"/>
                <w:szCs w:val="20"/>
              </w:rPr>
              <w:t>Exposiciones con riesgo de</w:t>
            </w:r>
          </w:p>
          <w:p w14:paraId="00253A72" w14:textId="77777777" w:rsidR="00C61E51" w:rsidRPr="00C61E51" w:rsidRDefault="00C61E51" w:rsidP="00AF04CF">
            <w:pPr>
              <w:rPr>
                <w:sz w:val="20"/>
                <w:szCs w:val="20"/>
              </w:rPr>
            </w:pPr>
            <w:r w:rsidRPr="00C61E51">
              <w:rPr>
                <w:sz w:val="20"/>
                <w:szCs w:val="20"/>
              </w:rPr>
              <w:t>transmisión apreciable:</w:t>
            </w:r>
          </w:p>
          <w:p w14:paraId="3E27E0BD" w14:textId="365641C5" w:rsidR="00C61E51" w:rsidRPr="00C61E51" w:rsidRDefault="00C61E51" w:rsidP="00AF04CF">
            <w:pPr>
              <w:rPr>
                <w:sz w:val="20"/>
                <w:szCs w:val="20"/>
              </w:rPr>
            </w:pPr>
            <w:r w:rsidRPr="00C61E51">
              <w:rPr>
                <w:sz w:val="20"/>
                <w:szCs w:val="20"/>
              </w:rPr>
              <w:t>•VIH positivo con CVP detectable o</w:t>
            </w:r>
            <w:r>
              <w:rPr>
                <w:sz w:val="20"/>
                <w:szCs w:val="20"/>
              </w:rPr>
              <w:t xml:space="preserve"> </w:t>
            </w:r>
            <w:r w:rsidRPr="00C61E51">
              <w:rPr>
                <w:sz w:val="20"/>
                <w:szCs w:val="20"/>
              </w:rPr>
              <w:t>desconocida (3)</w:t>
            </w:r>
          </w:p>
          <w:p w14:paraId="71DF5EDF" w14:textId="441A575B" w:rsidR="00871F84" w:rsidRDefault="00C61E51" w:rsidP="00AF04CF">
            <w:pPr>
              <w:rPr>
                <w:b/>
                <w:bCs/>
                <w:sz w:val="20"/>
                <w:szCs w:val="20"/>
              </w:rPr>
            </w:pPr>
            <w:r w:rsidRPr="00C61E51">
              <w:rPr>
                <w:sz w:val="20"/>
                <w:szCs w:val="20"/>
              </w:rPr>
              <w:t>•VIH desconocido con factores de riesgo (4)</w:t>
            </w:r>
          </w:p>
        </w:tc>
        <w:tc>
          <w:tcPr>
            <w:tcW w:w="2943" w:type="dxa"/>
          </w:tcPr>
          <w:p w14:paraId="21477C9C" w14:textId="2B5C85BB" w:rsidR="00871F84" w:rsidRPr="00C61E51" w:rsidRDefault="00C61E51" w:rsidP="00AF04CF">
            <w:pPr>
              <w:rPr>
                <w:sz w:val="20"/>
                <w:szCs w:val="20"/>
              </w:rPr>
            </w:pPr>
            <w:r w:rsidRPr="00C61E51">
              <w:rPr>
                <w:sz w:val="20"/>
                <w:szCs w:val="20"/>
              </w:rPr>
              <w:t>Recomendar PPE</w:t>
            </w:r>
          </w:p>
        </w:tc>
      </w:tr>
      <w:tr w:rsidR="00871F84" w14:paraId="1FC9E9A7" w14:textId="77777777" w:rsidTr="00451BBE">
        <w:tc>
          <w:tcPr>
            <w:tcW w:w="2942" w:type="dxa"/>
          </w:tcPr>
          <w:p w14:paraId="42A06C20" w14:textId="1B4DFCDD" w:rsidR="00871F84" w:rsidRPr="00C61E51" w:rsidRDefault="00C61E51" w:rsidP="00AF04CF">
            <w:pPr>
              <w:rPr>
                <w:sz w:val="20"/>
                <w:szCs w:val="20"/>
              </w:rPr>
            </w:pPr>
            <w:r w:rsidRPr="00C61E51">
              <w:rPr>
                <w:sz w:val="20"/>
                <w:szCs w:val="20"/>
              </w:rPr>
              <w:t>• Mordeduras humanas con solución de continuidad en la piel y presencia</w:t>
            </w:r>
            <w:r>
              <w:rPr>
                <w:sz w:val="20"/>
                <w:szCs w:val="20"/>
              </w:rPr>
              <w:t xml:space="preserve"> </w:t>
            </w:r>
            <w:r w:rsidRPr="00C61E51">
              <w:rPr>
                <w:sz w:val="20"/>
                <w:szCs w:val="20"/>
              </w:rPr>
              <w:t>de fluidos potencialmente infectantes.</w:t>
            </w:r>
          </w:p>
        </w:tc>
        <w:tc>
          <w:tcPr>
            <w:tcW w:w="2943" w:type="dxa"/>
          </w:tcPr>
          <w:p w14:paraId="7AC3DC96" w14:textId="77777777" w:rsidR="00C61E51" w:rsidRPr="00C61E51" w:rsidRDefault="00C61E51" w:rsidP="00AF04CF">
            <w:pPr>
              <w:rPr>
                <w:sz w:val="20"/>
                <w:szCs w:val="20"/>
              </w:rPr>
            </w:pPr>
            <w:r w:rsidRPr="00C61E51">
              <w:rPr>
                <w:sz w:val="20"/>
                <w:szCs w:val="20"/>
              </w:rPr>
              <w:t>Exposiciones con riesgo de</w:t>
            </w:r>
          </w:p>
          <w:p w14:paraId="46F2613A" w14:textId="77777777" w:rsidR="00C61E51" w:rsidRPr="00C61E51" w:rsidRDefault="00C61E51" w:rsidP="00AF04CF">
            <w:pPr>
              <w:rPr>
                <w:sz w:val="20"/>
                <w:szCs w:val="20"/>
              </w:rPr>
            </w:pPr>
            <w:r w:rsidRPr="00C61E51">
              <w:rPr>
                <w:sz w:val="20"/>
                <w:szCs w:val="20"/>
              </w:rPr>
              <w:t>transmisión bajo o mínimo</w:t>
            </w:r>
          </w:p>
          <w:p w14:paraId="1F60E1EA" w14:textId="5B88B5ED" w:rsidR="00871F84" w:rsidRDefault="00C61E51" w:rsidP="00AF04CF">
            <w:pPr>
              <w:rPr>
                <w:b/>
                <w:bCs/>
                <w:sz w:val="20"/>
                <w:szCs w:val="20"/>
              </w:rPr>
            </w:pPr>
            <w:r w:rsidRPr="00C61E51">
              <w:rPr>
                <w:sz w:val="20"/>
                <w:szCs w:val="20"/>
              </w:rPr>
              <w:t>•VIH positivo con CVP indetectable</w:t>
            </w:r>
          </w:p>
        </w:tc>
        <w:tc>
          <w:tcPr>
            <w:tcW w:w="2943" w:type="dxa"/>
          </w:tcPr>
          <w:p w14:paraId="647FB53F" w14:textId="77777777" w:rsidR="00C61E51" w:rsidRPr="00C61E51" w:rsidRDefault="00C61E51" w:rsidP="00AF04CF">
            <w:pPr>
              <w:rPr>
                <w:sz w:val="20"/>
                <w:szCs w:val="20"/>
              </w:rPr>
            </w:pPr>
            <w:r w:rsidRPr="00C61E51">
              <w:rPr>
                <w:sz w:val="20"/>
                <w:szCs w:val="20"/>
              </w:rPr>
              <w:t>Valorar</w:t>
            </w:r>
          </w:p>
          <w:p w14:paraId="62C7A320" w14:textId="12590BE1" w:rsidR="00871F84" w:rsidRDefault="00C61E51" w:rsidP="00AF04CF">
            <w:pPr>
              <w:rPr>
                <w:b/>
                <w:bCs/>
                <w:sz w:val="20"/>
                <w:szCs w:val="20"/>
              </w:rPr>
            </w:pPr>
            <w:r w:rsidRPr="00C61E51">
              <w:rPr>
                <w:sz w:val="20"/>
                <w:szCs w:val="20"/>
              </w:rPr>
              <w:t>individualmente (5)</w:t>
            </w:r>
          </w:p>
        </w:tc>
      </w:tr>
      <w:tr w:rsidR="008D65B4" w14:paraId="73782718" w14:textId="77777777" w:rsidTr="00451BBE">
        <w:tc>
          <w:tcPr>
            <w:tcW w:w="2942" w:type="dxa"/>
          </w:tcPr>
          <w:p w14:paraId="535D0066" w14:textId="77777777" w:rsidR="00AF04CF" w:rsidRPr="00AF04CF" w:rsidRDefault="00AF04CF" w:rsidP="00AF04CF">
            <w:pPr>
              <w:rPr>
                <w:sz w:val="20"/>
                <w:szCs w:val="20"/>
              </w:rPr>
            </w:pPr>
            <w:r w:rsidRPr="00AF04CF">
              <w:rPr>
                <w:sz w:val="20"/>
                <w:szCs w:val="20"/>
              </w:rPr>
              <w:t xml:space="preserve">Relación sexual </w:t>
            </w:r>
            <w:proofErr w:type="spellStart"/>
            <w:r w:rsidRPr="00AF04CF">
              <w:rPr>
                <w:sz w:val="20"/>
                <w:szCs w:val="20"/>
              </w:rPr>
              <w:t>orogenital</w:t>
            </w:r>
            <w:proofErr w:type="spellEnd"/>
            <w:r w:rsidRPr="00AF04CF">
              <w:rPr>
                <w:sz w:val="20"/>
                <w:szCs w:val="20"/>
              </w:rPr>
              <w:t xml:space="preserve"> (pene, vagina, ano), receptiva o </w:t>
            </w:r>
            <w:proofErr w:type="spellStart"/>
            <w:r w:rsidRPr="00AF04CF">
              <w:rPr>
                <w:sz w:val="20"/>
                <w:szCs w:val="20"/>
              </w:rPr>
              <w:t>insertiva</w:t>
            </w:r>
            <w:proofErr w:type="spellEnd"/>
            <w:r w:rsidRPr="00AF04CF">
              <w:rPr>
                <w:sz w:val="20"/>
                <w:szCs w:val="20"/>
              </w:rPr>
              <w:t>, con o</w:t>
            </w:r>
          </w:p>
          <w:p w14:paraId="41B177BF" w14:textId="6D93921F" w:rsidR="00AF04CF" w:rsidRPr="00AF04CF" w:rsidRDefault="00AF04CF" w:rsidP="00AF04CF">
            <w:pPr>
              <w:rPr>
                <w:sz w:val="20"/>
                <w:szCs w:val="20"/>
              </w:rPr>
            </w:pPr>
            <w:r w:rsidRPr="00AF04CF">
              <w:rPr>
                <w:sz w:val="20"/>
                <w:szCs w:val="20"/>
              </w:rPr>
              <w:t>sin eyaculación, sin preservativo u otro método de barrera o mal</w:t>
            </w:r>
            <w:r>
              <w:rPr>
                <w:sz w:val="20"/>
                <w:szCs w:val="20"/>
              </w:rPr>
              <w:t xml:space="preserve"> </w:t>
            </w:r>
            <w:r w:rsidRPr="00AF04CF">
              <w:rPr>
                <w:sz w:val="20"/>
                <w:szCs w:val="20"/>
              </w:rPr>
              <w:t xml:space="preserve">uso </w:t>
            </w:r>
            <w:proofErr w:type="gramStart"/>
            <w:r w:rsidRPr="00AF04CF">
              <w:rPr>
                <w:sz w:val="20"/>
                <w:szCs w:val="20"/>
              </w:rPr>
              <w:t>del</w:t>
            </w:r>
            <w:r>
              <w:rPr>
                <w:sz w:val="20"/>
                <w:szCs w:val="20"/>
              </w:rPr>
              <w:t xml:space="preserve"> </w:t>
            </w:r>
            <w:r w:rsidRPr="00AF04CF">
              <w:rPr>
                <w:sz w:val="20"/>
                <w:szCs w:val="20"/>
              </w:rPr>
              <w:t>mismo</w:t>
            </w:r>
            <w:proofErr w:type="gramEnd"/>
          </w:p>
          <w:p w14:paraId="34C7A858" w14:textId="73B99315" w:rsidR="008D65B4" w:rsidRPr="00C61E51" w:rsidRDefault="00AF04CF" w:rsidP="00AF04CF">
            <w:pPr>
              <w:rPr>
                <w:sz w:val="20"/>
                <w:szCs w:val="20"/>
              </w:rPr>
            </w:pPr>
            <w:r w:rsidRPr="00AF04CF">
              <w:rPr>
                <w:sz w:val="20"/>
                <w:szCs w:val="20"/>
              </w:rPr>
              <w:t>•Exposición de otras mucosas o de piel no intacta a sangre u otros fluidos</w:t>
            </w:r>
            <w:r>
              <w:rPr>
                <w:sz w:val="20"/>
                <w:szCs w:val="20"/>
              </w:rPr>
              <w:t xml:space="preserve"> </w:t>
            </w:r>
            <w:r w:rsidRPr="00AF04CF">
              <w:rPr>
                <w:sz w:val="20"/>
                <w:szCs w:val="20"/>
              </w:rPr>
              <w:t>potencialmente infectantes (1)</w:t>
            </w:r>
          </w:p>
        </w:tc>
        <w:tc>
          <w:tcPr>
            <w:tcW w:w="2943" w:type="dxa"/>
          </w:tcPr>
          <w:p w14:paraId="4A653220" w14:textId="77777777" w:rsidR="00AF04CF" w:rsidRPr="00AF04CF" w:rsidRDefault="00AF04CF" w:rsidP="00AF04CF">
            <w:pPr>
              <w:rPr>
                <w:sz w:val="20"/>
                <w:szCs w:val="20"/>
              </w:rPr>
            </w:pPr>
            <w:r w:rsidRPr="00AF04CF">
              <w:rPr>
                <w:sz w:val="20"/>
                <w:szCs w:val="20"/>
              </w:rPr>
              <w:t>•Exposiciones con riesgo de</w:t>
            </w:r>
          </w:p>
          <w:p w14:paraId="2740C26E" w14:textId="77777777" w:rsidR="00AF04CF" w:rsidRPr="00AF04CF" w:rsidRDefault="00AF04CF" w:rsidP="00AF04CF">
            <w:pPr>
              <w:rPr>
                <w:sz w:val="20"/>
                <w:szCs w:val="20"/>
              </w:rPr>
            </w:pPr>
            <w:r w:rsidRPr="00AF04CF">
              <w:rPr>
                <w:sz w:val="20"/>
                <w:szCs w:val="20"/>
              </w:rPr>
              <w:t>transmisión bajo o mínimo</w:t>
            </w:r>
          </w:p>
          <w:p w14:paraId="7A6FB067" w14:textId="60F7857F" w:rsidR="00AF04CF" w:rsidRPr="00AF04CF" w:rsidRDefault="00AF04CF" w:rsidP="00AF04CF">
            <w:pPr>
              <w:rPr>
                <w:sz w:val="20"/>
                <w:szCs w:val="20"/>
              </w:rPr>
            </w:pPr>
            <w:r w:rsidRPr="00AF04CF">
              <w:rPr>
                <w:sz w:val="20"/>
                <w:szCs w:val="20"/>
              </w:rPr>
              <w:t>•VIH positivo con CVP</w:t>
            </w:r>
            <w:r>
              <w:rPr>
                <w:sz w:val="20"/>
                <w:szCs w:val="20"/>
              </w:rPr>
              <w:t xml:space="preserve"> </w:t>
            </w:r>
            <w:r w:rsidRPr="00AF04CF">
              <w:rPr>
                <w:sz w:val="20"/>
                <w:szCs w:val="20"/>
              </w:rPr>
              <w:t>detectable,</w:t>
            </w:r>
          </w:p>
          <w:p w14:paraId="29CF5355" w14:textId="77777777" w:rsidR="00AF04CF" w:rsidRPr="00AF04CF" w:rsidRDefault="00AF04CF" w:rsidP="00AF04CF">
            <w:pPr>
              <w:rPr>
                <w:sz w:val="20"/>
                <w:szCs w:val="20"/>
              </w:rPr>
            </w:pPr>
            <w:r w:rsidRPr="00AF04CF">
              <w:rPr>
                <w:sz w:val="20"/>
                <w:szCs w:val="20"/>
              </w:rPr>
              <w:t>indetectable o desconocida.</w:t>
            </w:r>
          </w:p>
          <w:p w14:paraId="10C70D85" w14:textId="0F7AB85A" w:rsidR="00AF04CF" w:rsidRPr="00AF04CF" w:rsidRDefault="00AF04CF" w:rsidP="00AF04CF">
            <w:pPr>
              <w:rPr>
                <w:sz w:val="20"/>
                <w:szCs w:val="20"/>
              </w:rPr>
            </w:pPr>
            <w:r w:rsidRPr="00AF04CF">
              <w:rPr>
                <w:sz w:val="20"/>
                <w:szCs w:val="20"/>
              </w:rPr>
              <w:t>•VIH desconocido con factores de</w:t>
            </w:r>
            <w:r>
              <w:rPr>
                <w:sz w:val="20"/>
                <w:szCs w:val="20"/>
              </w:rPr>
              <w:t xml:space="preserve"> </w:t>
            </w:r>
            <w:r w:rsidRPr="00AF04CF">
              <w:rPr>
                <w:sz w:val="20"/>
                <w:szCs w:val="20"/>
              </w:rPr>
              <w:t>riesgo.</w:t>
            </w:r>
          </w:p>
          <w:p w14:paraId="3F5E5A58" w14:textId="77777777" w:rsidR="00AF04CF" w:rsidRPr="00AF04CF" w:rsidRDefault="00AF04CF" w:rsidP="00AF04CF">
            <w:pPr>
              <w:rPr>
                <w:sz w:val="20"/>
                <w:szCs w:val="20"/>
              </w:rPr>
            </w:pPr>
            <w:r w:rsidRPr="00AF04CF">
              <w:rPr>
                <w:sz w:val="20"/>
                <w:szCs w:val="20"/>
              </w:rPr>
              <w:t>•VIH desconocido sin factores de</w:t>
            </w:r>
          </w:p>
          <w:p w14:paraId="6A920033" w14:textId="21BCB032" w:rsidR="008D65B4" w:rsidRPr="00C61E51" w:rsidRDefault="00AF04CF" w:rsidP="00AF04CF">
            <w:pPr>
              <w:rPr>
                <w:sz w:val="20"/>
                <w:szCs w:val="20"/>
              </w:rPr>
            </w:pPr>
            <w:r w:rsidRPr="00AF04CF">
              <w:rPr>
                <w:sz w:val="20"/>
                <w:szCs w:val="20"/>
              </w:rPr>
              <w:t>riesgo</w:t>
            </w:r>
          </w:p>
        </w:tc>
        <w:tc>
          <w:tcPr>
            <w:tcW w:w="2943" w:type="dxa"/>
          </w:tcPr>
          <w:p w14:paraId="1BCD6318" w14:textId="77777777" w:rsidR="00AF04CF" w:rsidRPr="00AF04CF" w:rsidRDefault="00AF04CF" w:rsidP="00AF04CF">
            <w:pPr>
              <w:rPr>
                <w:sz w:val="20"/>
                <w:szCs w:val="20"/>
              </w:rPr>
            </w:pPr>
            <w:r w:rsidRPr="00AF04CF">
              <w:rPr>
                <w:sz w:val="20"/>
                <w:szCs w:val="20"/>
              </w:rPr>
              <w:t>Valorar</w:t>
            </w:r>
          </w:p>
          <w:p w14:paraId="7E1E8242" w14:textId="315F43F2" w:rsidR="008D65B4" w:rsidRPr="00C61E51" w:rsidRDefault="00AF04CF" w:rsidP="00AF04CF">
            <w:pPr>
              <w:rPr>
                <w:sz w:val="20"/>
                <w:szCs w:val="20"/>
              </w:rPr>
            </w:pPr>
            <w:r w:rsidRPr="00AF04CF">
              <w:rPr>
                <w:sz w:val="20"/>
                <w:szCs w:val="20"/>
              </w:rPr>
              <w:t>individualmente (5)</w:t>
            </w:r>
          </w:p>
        </w:tc>
      </w:tr>
      <w:tr w:rsidR="008D65B4" w14:paraId="7BF3FE3E" w14:textId="77777777" w:rsidTr="00451BBE">
        <w:tc>
          <w:tcPr>
            <w:tcW w:w="2942" w:type="dxa"/>
          </w:tcPr>
          <w:p w14:paraId="38035D51" w14:textId="77777777" w:rsidR="00AF04CF" w:rsidRPr="00AF04CF" w:rsidRDefault="00AF04CF" w:rsidP="00AF04CF">
            <w:pPr>
              <w:rPr>
                <w:sz w:val="20"/>
                <w:szCs w:val="20"/>
              </w:rPr>
            </w:pPr>
            <w:r w:rsidRPr="00AF04CF">
              <w:rPr>
                <w:sz w:val="20"/>
                <w:szCs w:val="20"/>
              </w:rPr>
              <w:t>•Cualquier tipo de exposición con fluidos no infectantes (2)</w:t>
            </w:r>
          </w:p>
          <w:p w14:paraId="741FC045" w14:textId="77777777" w:rsidR="00AF04CF" w:rsidRPr="00AF04CF" w:rsidRDefault="00AF04CF" w:rsidP="00AF04CF">
            <w:pPr>
              <w:rPr>
                <w:sz w:val="20"/>
                <w:szCs w:val="20"/>
              </w:rPr>
            </w:pPr>
            <w:r w:rsidRPr="00AF04CF">
              <w:rPr>
                <w:sz w:val="20"/>
                <w:szCs w:val="20"/>
              </w:rPr>
              <w:t>•Exposiciones sobre piel intacta.</w:t>
            </w:r>
          </w:p>
          <w:p w14:paraId="011FFABA" w14:textId="77777777" w:rsidR="00AF04CF" w:rsidRPr="00AF04CF" w:rsidRDefault="00AF04CF" w:rsidP="00AF04CF">
            <w:pPr>
              <w:rPr>
                <w:sz w:val="20"/>
                <w:szCs w:val="20"/>
              </w:rPr>
            </w:pPr>
            <w:r w:rsidRPr="00AF04CF">
              <w:rPr>
                <w:sz w:val="20"/>
                <w:szCs w:val="20"/>
              </w:rPr>
              <w:t>•Mordeduras sin rotura de piel ni sangrado:</w:t>
            </w:r>
          </w:p>
          <w:p w14:paraId="4BD419F0" w14:textId="73A81C5E" w:rsidR="00AF04CF" w:rsidRPr="00AF04CF" w:rsidRDefault="00AF04CF" w:rsidP="00AF04CF">
            <w:pPr>
              <w:rPr>
                <w:sz w:val="20"/>
                <w:szCs w:val="20"/>
              </w:rPr>
            </w:pPr>
            <w:r w:rsidRPr="00AF04CF">
              <w:rPr>
                <w:sz w:val="20"/>
                <w:szCs w:val="20"/>
              </w:rPr>
              <w:t>•Pinchazo o erosión superficial con agujas u otros objetos punzantes o</w:t>
            </w:r>
            <w:r>
              <w:rPr>
                <w:sz w:val="20"/>
                <w:szCs w:val="20"/>
              </w:rPr>
              <w:t xml:space="preserve"> </w:t>
            </w:r>
            <w:r w:rsidRPr="00AF04CF">
              <w:rPr>
                <w:sz w:val="20"/>
                <w:szCs w:val="20"/>
              </w:rPr>
              <w:t>cortantes abandonadas que no han estado en contacto reciente con</w:t>
            </w:r>
            <w:r>
              <w:rPr>
                <w:sz w:val="20"/>
                <w:szCs w:val="20"/>
              </w:rPr>
              <w:t xml:space="preserve"> </w:t>
            </w:r>
            <w:r w:rsidRPr="00AF04CF">
              <w:rPr>
                <w:sz w:val="20"/>
                <w:szCs w:val="20"/>
              </w:rPr>
              <w:t>sangre.</w:t>
            </w:r>
          </w:p>
          <w:p w14:paraId="22F3F637" w14:textId="77777777" w:rsidR="00AF04CF" w:rsidRPr="00AF04CF" w:rsidRDefault="00AF04CF" w:rsidP="00AF04CF">
            <w:pPr>
              <w:rPr>
                <w:sz w:val="20"/>
                <w:szCs w:val="20"/>
              </w:rPr>
            </w:pPr>
            <w:r w:rsidRPr="00AF04CF">
              <w:rPr>
                <w:sz w:val="20"/>
                <w:szCs w:val="20"/>
              </w:rPr>
              <w:t>-Besos.</w:t>
            </w:r>
          </w:p>
          <w:p w14:paraId="04395049" w14:textId="77777777" w:rsidR="00AF04CF" w:rsidRPr="00AF04CF" w:rsidRDefault="00AF04CF" w:rsidP="00AF04CF">
            <w:pPr>
              <w:rPr>
                <w:sz w:val="20"/>
                <w:szCs w:val="20"/>
              </w:rPr>
            </w:pPr>
            <w:r w:rsidRPr="00AF04CF">
              <w:rPr>
                <w:sz w:val="20"/>
                <w:szCs w:val="20"/>
              </w:rPr>
              <w:t>-Reanimación boca a boca sin lesiones cutáneo-mucosas.</w:t>
            </w:r>
          </w:p>
          <w:p w14:paraId="25C9ABC1" w14:textId="77777777" w:rsidR="00AF04CF" w:rsidRPr="00AF04CF" w:rsidRDefault="00AF04CF" w:rsidP="00AF04CF">
            <w:pPr>
              <w:rPr>
                <w:sz w:val="20"/>
                <w:szCs w:val="20"/>
              </w:rPr>
            </w:pPr>
            <w:r w:rsidRPr="00AF04CF">
              <w:rPr>
                <w:sz w:val="20"/>
                <w:szCs w:val="20"/>
              </w:rPr>
              <w:t>-Caricias.</w:t>
            </w:r>
          </w:p>
          <w:p w14:paraId="6FEC9B75" w14:textId="44CEDD89" w:rsidR="008D65B4" w:rsidRPr="00C61E51" w:rsidRDefault="00AF04CF" w:rsidP="00AF04CF">
            <w:pPr>
              <w:rPr>
                <w:sz w:val="20"/>
                <w:szCs w:val="20"/>
              </w:rPr>
            </w:pPr>
            <w:r w:rsidRPr="00AF04CF">
              <w:rPr>
                <w:sz w:val="20"/>
                <w:szCs w:val="20"/>
              </w:rPr>
              <w:t>-Masturbación sin rotura de piel</w:t>
            </w:r>
          </w:p>
        </w:tc>
        <w:tc>
          <w:tcPr>
            <w:tcW w:w="2943" w:type="dxa"/>
          </w:tcPr>
          <w:p w14:paraId="6CCF5547" w14:textId="77777777" w:rsidR="00AF04CF" w:rsidRPr="00AF04CF" w:rsidRDefault="00AF04CF" w:rsidP="00AF04CF">
            <w:pPr>
              <w:rPr>
                <w:sz w:val="20"/>
                <w:szCs w:val="20"/>
              </w:rPr>
            </w:pPr>
            <w:r w:rsidRPr="00AF04CF">
              <w:rPr>
                <w:sz w:val="20"/>
                <w:szCs w:val="20"/>
              </w:rPr>
              <w:t>Exposiciones con riesgo de</w:t>
            </w:r>
          </w:p>
          <w:p w14:paraId="69076FDD" w14:textId="77777777" w:rsidR="00AF04CF" w:rsidRPr="00AF04CF" w:rsidRDefault="00AF04CF" w:rsidP="00AF04CF">
            <w:pPr>
              <w:rPr>
                <w:sz w:val="20"/>
                <w:szCs w:val="20"/>
              </w:rPr>
            </w:pPr>
            <w:r w:rsidRPr="00AF04CF">
              <w:rPr>
                <w:sz w:val="20"/>
                <w:szCs w:val="20"/>
              </w:rPr>
              <w:t>transmisión despreciable o nulo:</w:t>
            </w:r>
          </w:p>
          <w:p w14:paraId="5D5B6C64" w14:textId="77777777" w:rsidR="00AF04CF" w:rsidRPr="00AF04CF" w:rsidRDefault="00AF04CF" w:rsidP="00AF04CF">
            <w:pPr>
              <w:rPr>
                <w:sz w:val="20"/>
                <w:szCs w:val="20"/>
              </w:rPr>
            </w:pPr>
            <w:r w:rsidRPr="00AF04CF">
              <w:rPr>
                <w:sz w:val="20"/>
                <w:szCs w:val="20"/>
              </w:rPr>
              <w:t>•VIH positivo con CVP detectable o</w:t>
            </w:r>
          </w:p>
          <w:p w14:paraId="175A22E1" w14:textId="77777777" w:rsidR="00AF04CF" w:rsidRPr="00AF04CF" w:rsidRDefault="00AF04CF" w:rsidP="00AF04CF">
            <w:pPr>
              <w:rPr>
                <w:sz w:val="20"/>
                <w:szCs w:val="20"/>
              </w:rPr>
            </w:pPr>
            <w:r w:rsidRPr="00AF04CF">
              <w:rPr>
                <w:sz w:val="20"/>
                <w:szCs w:val="20"/>
              </w:rPr>
              <w:t>indetectable y VIH desconocido con</w:t>
            </w:r>
          </w:p>
          <w:p w14:paraId="6314C665" w14:textId="77F8D073" w:rsidR="008D65B4" w:rsidRPr="00C61E51" w:rsidRDefault="00AF04CF" w:rsidP="00AF04CF">
            <w:pPr>
              <w:rPr>
                <w:sz w:val="20"/>
                <w:szCs w:val="20"/>
              </w:rPr>
            </w:pPr>
            <w:r w:rsidRPr="00AF04CF">
              <w:rPr>
                <w:sz w:val="20"/>
                <w:szCs w:val="20"/>
              </w:rPr>
              <w:t>o sin factores de riesgo</w:t>
            </w:r>
          </w:p>
        </w:tc>
        <w:tc>
          <w:tcPr>
            <w:tcW w:w="2943" w:type="dxa"/>
          </w:tcPr>
          <w:p w14:paraId="7BF45AA9" w14:textId="77777777" w:rsidR="00AF04CF" w:rsidRPr="00AF04CF" w:rsidRDefault="00AF04CF" w:rsidP="00AF04CF">
            <w:pPr>
              <w:rPr>
                <w:sz w:val="20"/>
                <w:szCs w:val="20"/>
              </w:rPr>
            </w:pPr>
            <w:r w:rsidRPr="00AF04CF">
              <w:rPr>
                <w:sz w:val="20"/>
                <w:szCs w:val="20"/>
              </w:rPr>
              <w:t>PPE no</w:t>
            </w:r>
          </w:p>
          <w:p w14:paraId="2F0C0A4D" w14:textId="6847060B" w:rsidR="008D65B4" w:rsidRPr="00C61E51" w:rsidRDefault="00AF04CF" w:rsidP="00AF04CF">
            <w:pPr>
              <w:rPr>
                <w:sz w:val="20"/>
                <w:szCs w:val="20"/>
              </w:rPr>
            </w:pPr>
            <w:r w:rsidRPr="00AF04CF">
              <w:rPr>
                <w:sz w:val="20"/>
                <w:szCs w:val="20"/>
              </w:rPr>
              <w:t>recomendada</w:t>
            </w:r>
          </w:p>
        </w:tc>
      </w:tr>
    </w:tbl>
    <w:p w14:paraId="09A4C6CF" w14:textId="410B9A71" w:rsidR="00871F84" w:rsidRDefault="00871F84" w:rsidP="00871F84">
      <w:pPr>
        <w:rPr>
          <w:b/>
          <w:bCs/>
          <w:sz w:val="20"/>
          <w:szCs w:val="20"/>
        </w:rPr>
      </w:pPr>
    </w:p>
    <w:p w14:paraId="39B9E7B2" w14:textId="1CB3568C" w:rsidR="00C61E51" w:rsidRPr="009B138C" w:rsidRDefault="00C61E51" w:rsidP="00C61E51">
      <w:r w:rsidRPr="009B138C">
        <w:lastRenderedPageBreak/>
        <w:t xml:space="preserve">4,5, Documento de Consenso sobre Profilaxis </w:t>
      </w:r>
      <w:proofErr w:type="spellStart"/>
      <w:r w:rsidRPr="009B138C">
        <w:t>post-exposición</w:t>
      </w:r>
      <w:proofErr w:type="spellEnd"/>
      <w:r w:rsidRPr="009B138C">
        <w:t xml:space="preserve"> ocupacional y no ocupacional en relación con el VIH, VHB y VHC en adultos y niños. GESIDA Marzo de 2015.</w:t>
      </w:r>
    </w:p>
    <w:p w14:paraId="270BE96A" w14:textId="07BFCF8E" w:rsidR="00C61E51" w:rsidRPr="009B138C" w:rsidRDefault="00C61E51" w:rsidP="00C61E51">
      <w:r w:rsidRPr="009B138C">
        <w:t xml:space="preserve">11 Documento de Consenso sobre Profilaxis </w:t>
      </w:r>
      <w:proofErr w:type="spellStart"/>
      <w:r w:rsidRPr="009B138C">
        <w:t>post-exposición</w:t>
      </w:r>
      <w:proofErr w:type="spellEnd"/>
      <w:r w:rsidRPr="009B138C">
        <w:t xml:space="preserve"> ocupacional y no ocupacional en relación con el VIH, VHB y VHC en adultos y niños. GESIDA Marzo de 2015.</w:t>
      </w:r>
    </w:p>
    <w:p w14:paraId="54602D4A" w14:textId="19174855" w:rsidR="00AF04CF" w:rsidRPr="009B138C" w:rsidRDefault="00AF04CF" w:rsidP="00AF04CF">
      <w:r w:rsidRPr="009B138C">
        <w:t>Sangre, Fluidos que contengan sangre visible, semen, secreciones vaginales, líquido cefalorraquídeo, pleural pericárdico, peritoneal, sinovial, amniótico, y leche humana.</w:t>
      </w:r>
    </w:p>
    <w:p w14:paraId="08B656C3" w14:textId="77777777" w:rsidR="00AF04CF" w:rsidRPr="009B138C" w:rsidRDefault="00AF04CF" w:rsidP="00AF04CF">
      <w:r w:rsidRPr="009B138C">
        <w:t>− (2) Orina, heces, saliva, vómitos, secreciones nasales, lágrimas, sudor y esputo, si no contienen sangre visible.</w:t>
      </w:r>
    </w:p>
    <w:p w14:paraId="562B3960" w14:textId="77777777" w:rsidR="00AF04CF" w:rsidRPr="009B138C" w:rsidRDefault="00AF04CF" w:rsidP="00AF04CF">
      <w:r w:rsidRPr="009B138C">
        <w:t>− (3) Cuanto mayor sea la CVP (Carga viral plasmática) mayor es el riesgo de transmisión.</w:t>
      </w:r>
    </w:p>
    <w:p w14:paraId="01C24FF1" w14:textId="58A9473A" w:rsidR="00AF04CF" w:rsidRPr="009B138C" w:rsidRDefault="00AF04CF" w:rsidP="00AF04CF">
      <w:r w:rsidRPr="009B138C">
        <w:t>− (4) HSH, PID, trabajador sexual, agresor sexual, antecedentes de ingreso en centros penitenciarios y natural de un país con una prevalencia de VIH superior al 1% (Haití, Bahamas, Jamaica, Belice, Trinidad y Tobago, Estonia, Rusia, Tailandia y África subsahariana)</w:t>
      </w:r>
    </w:p>
    <w:p w14:paraId="5841CC06" w14:textId="68DE526D" w:rsidR="00AF04CF" w:rsidRPr="009B138C" w:rsidRDefault="00AF04CF" w:rsidP="00AF04CF">
      <w:r w:rsidRPr="009B138C">
        <w:t>− (5) Valorar individualmente cada caso. En general se recomienda iniciar PPE si la fuente es VIH+ con CVP detectable o desconocida o si es VIH desconocido con factores de riesgo.</w:t>
      </w:r>
    </w:p>
    <w:p w14:paraId="340CFFCE" w14:textId="77777777" w:rsidR="00AA2753" w:rsidRDefault="00AA2753" w:rsidP="00AF04CF">
      <w:pPr>
        <w:rPr>
          <w:sz w:val="18"/>
          <w:szCs w:val="18"/>
        </w:rPr>
      </w:pPr>
    </w:p>
    <w:p w14:paraId="2FF15CFB" w14:textId="619F5D5C" w:rsidR="00AF04CF" w:rsidRDefault="00AF04CF" w:rsidP="00AA2753">
      <w:pPr>
        <w:pStyle w:val="Ttulo1"/>
      </w:pPr>
      <w:bookmarkStart w:id="9" w:name="_Toc84920669"/>
      <w:r w:rsidRPr="00AF04CF">
        <w:t>5.5 Recomendaciones generales ante una exposición de riesgo</w:t>
      </w:r>
      <w:r>
        <w:t xml:space="preserve"> </w:t>
      </w:r>
      <w:r w:rsidRPr="00AF04CF">
        <w:t>biológico.12</w:t>
      </w:r>
      <w:bookmarkEnd w:id="9"/>
    </w:p>
    <w:p w14:paraId="39CD8BEB" w14:textId="66299842" w:rsidR="00AF04CF" w:rsidRDefault="00AF04CF" w:rsidP="00AF04CF">
      <w:pPr>
        <w:rPr>
          <w:sz w:val="20"/>
          <w:szCs w:val="20"/>
        </w:rPr>
      </w:pPr>
      <w:r w:rsidRPr="00AF04CF">
        <w:rPr>
          <w:sz w:val="20"/>
          <w:szCs w:val="20"/>
        </w:rPr>
        <w:t xml:space="preserve">12 Documento de Consenso sobre Profilaxis </w:t>
      </w:r>
      <w:proofErr w:type="spellStart"/>
      <w:r w:rsidRPr="00AF04CF">
        <w:rPr>
          <w:sz w:val="20"/>
          <w:szCs w:val="20"/>
        </w:rPr>
        <w:t>post-exposición</w:t>
      </w:r>
      <w:proofErr w:type="spellEnd"/>
      <w:r w:rsidRPr="00AF04CF">
        <w:rPr>
          <w:sz w:val="20"/>
          <w:szCs w:val="20"/>
        </w:rPr>
        <w:t xml:space="preserve"> ocupacional y no ocupacional en relación con el VIH, VHB y VHC en adultos y niños. GESIDA Marzo de 2015.</w:t>
      </w:r>
    </w:p>
    <w:p w14:paraId="12307AA9" w14:textId="77777777" w:rsidR="00AA2753" w:rsidRDefault="00AA2753" w:rsidP="00C74B52">
      <w:pPr>
        <w:rPr>
          <w:sz w:val="20"/>
          <w:szCs w:val="20"/>
        </w:rPr>
      </w:pPr>
    </w:p>
    <w:p w14:paraId="3369466B" w14:textId="0A62FA7E" w:rsidR="00C74B52" w:rsidRPr="009B138C" w:rsidRDefault="00C74B52" w:rsidP="00C74B52">
      <w:r w:rsidRPr="009B138C">
        <w:t xml:space="preserve">a) Las personas que sufren una exposición accidental deben ser evaluadas lo antes posible para valorar si está indicada la Profilaxis </w:t>
      </w:r>
      <w:proofErr w:type="spellStart"/>
      <w:r w:rsidRPr="009B138C">
        <w:t>post-exposición-PPE</w:t>
      </w:r>
      <w:proofErr w:type="spellEnd"/>
      <w:r w:rsidRPr="009B138C">
        <w:t>. Recomendación fuerte a favor, calidad de evidencia moderada.</w:t>
      </w:r>
    </w:p>
    <w:p w14:paraId="3629C9CD" w14:textId="393C1A4C" w:rsidR="00C74B52" w:rsidRPr="009B138C" w:rsidRDefault="00C74B52" w:rsidP="00C74B52">
      <w:r w:rsidRPr="009B138C">
        <w:t>b) Tras la exposición accidental, las heridas y la piel expuesta deben ser lavadas con agua y jabón. Por otra parte, tras un pinchazo accidental, nunca debe exprimirse la zona del pinchazo. Recomendación fuerte a favor, calidad de evidencia moderada.</w:t>
      </w:r>
    </w:p>
    <w:p w14:paraId="571FC324" w14:textId="77777777" w:rsidR="00C74B52" w:rsidRPr="009B138C" w:rsidRDefault="00C74B52" w:rsidP="00C74B52">
      <w:r w:rsidRPr="009B138C">
        <w:t>c) Cuando se produce una exposición al VIH, con independencia de si se realiza o no PPE, todos los procedimientos e intervenciones deben estar claramente recogidos en la historia clínica.</w:t>
      </w:r>
    </w:p>
    <w:p w14:paraId="4B8295DD" w14:textId="24E743C6" w:rsidR="00C74B52" w:rsidRPr="009B138C" w:rsidRDefault="00C74B52" w:rsidP="00C74B52">
      <w:r w:rsidRPr="009B138C">
        <w:t>Recomendación fuerte a favor, calidad de evidencia moderada.</w:t>
      </w:r>
    </w:p>
    <w:p w14:paraId="5F1DA966" w14:textId="58AEBB28" w:rsidR="00C74B52" w:rsidRPr="009B138C" w:rsidRDefault="00C74B52" w:rsidP="00C74B52">
      <w:r w:rsidRPr="009B138C">
        <w:t>d) Se recomienda iniciar PPE lo antes posible tras la exposición, preferiblemente en las primeras 24 horas y en el caso de las ITS y el VIH, no más tarde de las 72 horas. Recomendación fuerte a favor, calidad de la evidencia moderada .</w:t>
      </w:r>
    </w:p>
    <w:p w14:paraId="64C2FFB4" w14:textId="174CF4B7" w:rsidR="00AF04CF" w:rsidRPr="009B138C" w:rsidRDefault="00C74B52" w:rsidP="00C74B52">
      <w:r w:rsidRPr="009B138C">
        <w:lastRenderedPageBreak/>
        <w:t>e) Se recomienda realizar PPE en las exposiciones con riesgo apreciable (ver Tabla 6) Recomendación fuerte a favor, calidad de la evidencia baja.</w:t>
      </w:r>
    </w:p>
    <w:p w14:paraId="7E54D7BC" w14:textId="3C28CA41" w:rsidR="00C74B52" w:rsidRPr="009B138C" w:rsidRDefault="00C74B52" w:rsidP="00C74B52">
      <w:r w:rsidRPr="009B138C">
        <w:t>f) Se recomienda valorar individualmente la necesidad de PPE en las exposiciones con riesgo bajo o mínimo (ver Tabla 6). Recomendación débil, baja calidad de la evidencia.</w:t>
      </w:r>
    </w:p>
    <w:p w14:paraId="3FAEB604" w14:textId="1CFCF2A5" w:rsidR="00C74B52" w:rsidRPr="009B138C" w:rsidRDefault="00C74B52" w:rsidP="00C74B52">
      <w:r w:rsidRPr="009B138C">
        <w:t>g) En general, se recomienda iniciar PPE si la fuente es positiva para el VIH, con carga viral detectable o desconocida, o si es VIH desconocido con factores de riesgo. Recomendación débil, baja calidad de la evidencia.</w:t>
      </w:r>
    </w:p>
    <w:p w14:paraId="362FE98E" w14:textId="197743E2" w:rsidR="00C74B52" w:rsidRPr="009B138C" w:rsidRDefault="00C74B52" w:rsidP="00C74B52">
      <w:r w:rsidRPr="009B138C">
        <w:t>h) Si la fuente es positiva para el VIH, con carga viral indetectable o si es VIH desconocido sin factores de riesgo, se puede considerar no realizar PPE dado que el riesgo de transmisión es muy bajo.</w:t>
      </w:r>
    </w:p>
    <w:p w14:paraId="671FBC3C" w14:textId="77777777" w:rsidR="00C74B52" w:rsidRPr="009B138C" w:rsidRDefault="00C74B52" w:rsidP="00C74B52">
      <w:r w:rsidRPr="009B138C">
        <w:t>Recomendación débil, baja calidad de la evidencia.</w:t>
      </w:r>
    </w:p>
    <w:p w14:paraId="5A309053" w14:textId="70ECD68D" w:rsidR="00C74B52" w:rsidRPr="009B138C" w:rsidRDefault="00C74B52" w:rsidP="00C74B52">
      <w:r w:rsidRPr="009B138C">
        <w:t>i) No se recomienda realizar PPE en las exposiciones con riesgo nulo o despreciable (ver Tabla 6). Recomendación fuerte en contra, calidad de la evidencia baja.</w:t>
      </w:r>
    </w:p>
    <w:p w14:paraId="50C8BE81" w14:textId="31CED336" w:rsidR="00C74B52" w:rsidRPr="009B138C" w:rsidRDefault="00C74B52" w:rsidP="00C74B52">
      <w:r w:rsidRPr="009B138C">
        <w:t>j) La PPE debe interrumpirse si se confirma según los algoritmos diagnósticos vigentes, que la persona fuente es negativa para el VIH. Recomendación fuerte en contra, calidad de la evidencia baja.</w:t>
      </w:r>
    </w:p>
    <w:p w14:paraId="55FD7278" w14:textId="5B0D8B5E" w:rsidR="00C74B52" w:rsidRPr="009B138C" w:rsidRDefault="00C74B52" w:rsidP="00C74B52">
      <w:r w:rsidRPr="009B138C">
        <w:t xml:space="preserve">k) En el caso de exposiciones a fluidos potencialmente infectantes por mecanismos diferentes a la vía sexual, el sitio corporal donde ocurrió la exposición debe ser lavado con agua y jabón, en el caso de piel y con agua en irrigación en el caso de mucosas (IIIA). No existe evidencia que soporte el uso de </w:t>
      </w:r>
      <w:r w:rsidR="00C2386C" w:rsidRPr="009B138C">
        <w:t>antisépticos,</w:t>
      </w:r>
      <w:r w:rsidRPr="009B138C">
        <w:t xml:space="preserve"> pero tampoco están contraindicados. No se recomienda el uso de corrosivos o cáusticos.</w:t>
      </w:r>
    </w:p>
    <w:p w14:paraId="3A75DBB5" w14:textId="7D658455" w:rsidR="00C74B52" w:rsidRPr="009B138C" w:rsidRDefault="00C74B52" w:rsidP="00C74B52">
      <w:r w:rsidRPr="009B138C">
        <w:t>l) Una vez ocurrida la exposición, la persona expuesta debe acudir al servicio de urgencias de inmediato. Se debe llenar un reporte en el Formato Único de Reporte de Accidente del Trabajo-FURAT</w:t>
      </w:r>
    </w:p>
    <w:p w14:paraId="567A9508" w14:textId="77777777" w:rsidR="00C74B52" w:rsidRPr="009B138C" w:rsidRDefault="00C74B52" w:rsidP="00C74B52">
      <w:r w:rsidRPr="009B138C">
        <w:t>– para el caso de exposiciones de riesgo biológico laborales.</w:t>
      </w:r>
    </w:p>
    <w:p w14:paraId="1A0CA83B" w14:textId="2B3E65C7" w:rsidR="00C74B52" w:rsidRPr="009B138C" w:rsidRDefault="00C74B52" w:rsidP="00C74B52">
      <w:r w:rsidRPr="009B138C">
        <w:t>m) Todo el proceso de evaluación y toma de decisiones debe hacerse en las horas inmediatamente siguientes a la exposición (IIA). La evaluación debe considerar posible riesgo de transmisión de otros patógenos (sífilis, hepatitis B, hepatitis C) (IIA).</w:t>
      </w:r>
    </w:p>
    <w:p w14:paraId="656FEE75" w14:textId="396CA5F6" w:rsidR="00C74B52" w:rsidRPr="009B138C" w:rsidRDefault="00C74B52" w:rsidP="00C74B52">
      <w:r w:rsidRPr="009B138C">
        <w:t>n) Se debe recomendar a la persona expuesta, prácticas que permitan evitar la posible transmisión del VIH a terceros durante el período de seguimiento, mediante la utilización de condón, entre otros (IIIA). Igualmente, se debe dar soporte emocional a la persona expuesta y a su familia. La persona expuesta no debe donar sangre u órganos durante el período de seguimiento, para prevenir la posible transmisión de ITS, VIH o Hepatitis B o C.</w:t>
      </w:r>
    </w:p>
    <w:p w14:paraId="03E3FC01" w14:textId="3DE0B052" w:rsidR="00C74B52" w:rsidRPr="009B138C" w:rsidRDefault="00C74B52" w:rsidP="00C74B52">
      <w:r w:rsidRPr="009B138C">
        <w:lastRenderedPageBreak/>
        <w:t>o) En el caso de exposiciones de riesgo tras violencia sexual, se deben seguir todas las indicaciones del Protocolo de atención a víctimas de violencia sexual del Ministerio de Salud y Protección Social.</w:t>
      </w:r>
    </w:p>
    <w:p w14:paraId="6FD91C78" w14:textId="4449D9CF" w:rsidR="00C74B52" w:rsidRDefault="00C74B52" w:rsidP="00AA2753">
      <w:pPr>
        <w:pStyle w:val="Ttulo1"/>
      </w:pPr>
      <w:bookmarkStart w:id="10" w:name="_Toc84920670"/>
      <w:r w:rsidRPr="00C74B52">
        <w:t>5.6 Inicio de profilaxis para VIH, ITS, VHB y de anticoncepción de emergencia.</w:t>
      </w:r>
      <w:bookmarkEnd w:id="10"/>
    </w:p>
    <w:p w14:paraId="6035C173" w14:textId="328A6F65" w:rsidR="00C74B52" w:rsidRDefault="00C74B52" w:rsidP="00AA2753">
      <w:pPr>
        <w:pStyle w:val="Ttulo2"/>
      </w:pPr>
      <w:bookmarkStart w:id="11" w:name="_Toc84920671"/>
      <w:r w:rsidRPr="00C74B52">
        <w:t xml:space="preserve">5.6.1 Componentes del kit de profilaxis </w:t>
      </w:r>
      <w:proofErr w:type="spellStart"/>
      <w:r w:rsidRPr="00C74B52">
        <w:t>post-exposición</w:t>
      </w:r>
      <w:proofErr w:type="spellEnd"/>
      <w:r w:rsidRPr="00C74B52">
        <w:t>.</w:t>
      </w:r>
      <w:bookmarkEnd w:id="11"/>
    </w:p>
    <w:p w14:paraId="70B5453D" w14:textId="77777777" w:rsidR="00AA2753" w:rsidRDefault="00AA2753" w:rsidP="00C74B52">
      <w:pPr>
        <w:rPr>
          <w:sz w:val="20"/>
          <w:szCs w:val="20"/>
        </w:rPr>
      </w:pPr>
    </w:p>
    <w:p w14:paraId="7CB47CEB" w14:textId="6CF43C2C" w:rsidR="00C74B52" w:rsidRPr="009B138C" w:rsidRDefault="00C74B52" w:rsidP="00C74B52">
      <w:r w:rsidRPr="009B138C">
        <w:t xml:space="preserve">Los servicios de urgencias o los servicios de salud con talento humano entrenado para administrar profilaxis </w:t>
      </w:r>
      <w:proofErr w:type="spellStart"/>
      <w:r w:rsidRPr="009B138C">
        <w:t>post-exposición</w:t>
      </w:r>
      <w:proofErr w:type="spellEnd"/>
      <w:r w:rsidRPr="009B138C">
        <w:t>, deben contar con 2 Kits para mayores de 13 años y 2 Kits para menores de 13 años, disponibles las 24 horas y ser monitorizados para garantizar su reposición por uso o por cumplimiento de la fecha de expiración de sus componentes.</w:t>
      </w:r>
    </w:p>
    <w:p w14:paraId="3952A2E6" w14:textId="77777777" w:rsidR="00C74B52" w:rsidRPr="009B138C" w:rsidRDefault="00C74B52" w:rsidP="00C74B52">
      <w:r w:rsidRPr="009B138C">
        <w:t>Los componentes del Kit para para PPE son:</w:t>
      </w:r>
    </w:p>
    <w:p w14:paraId="32402134" w14:textId="77777777" w:rsidR="00C74B52" w:rsidRPr="009B138C" w:rsidRDefault="00C74B52" w:rsidP="00C74B52">
      <w:r w:rsidRPr="009B138C">
        <w:t>1. *Dos pruebas rápidas para VIH con sensibilidad y especificidad no inferior al 99,5% + solución diluyente.</w:t>
      </w:r>
    </w:p>
    <w:p w14:paraId="6E32EF0B" w14:textId="17C814CD" w:rsidR="00C74B52" w:rsidRPr="009B138C" w:rsidRDefault="00C74B52" w:rsidP="00C74B52">
      <w:r w:rsidRPr="009B138C">
        <w:t>2. *Dos pruebas rápidas de Sífilis + solución diluyente, se recomiendan pruebas duales con VIH, para simplificar la logística y la aplicación del protocolo.</w:t>
      </w:r>
    </w:p>
    <w:p w14:paraId="330960FF" w14:textId="77777777" w:rsidR="00C74B52" w:rsidRPr="009B138C" w:rsidRDefault="00C74B52" w:rsidP="00C74B52">
      <w:r w:rsidRPr="009B138C">
        <w:t>3. *Dos pruebas rápidas de embarazo.</w:t>
      </w:r>
    </w:p>
    <w:p w14:paraId="09DAF4FA" w14:textId="77777777" w:rsidR="00C74B52" w:rsidRPr="009B138C" w:rsidRDefault="00C74B52" w:rsidP="00C74B52">
      <w:r w:rsidRPr="009B138C">
        <w:t>4. *Dos pruebas rápidas para antígeno de superficie de Hepatitis B + solución diluyente.</w:t>
      </w:r>
    </w:p>
    <w:p w14:paraId="2FF4C23C" w14:textId="77777777" w:rsidR="00C74B52" w:rsidRPr="009B138C" w:rsidRDefault="00C74B52" w:rsidP="00C74B52">
      <w:r w:rsidRPr="009B138C">
        <w:t>5. *Dos pruebas rápidas para anticuerpos contra el VHC + solución diluyente.</w:t>
      </w:r>
    </w:p>
    <w:p w14:paraId="5BCC401A" w14:textId="77777777" w:rsidR="00C74B52" w:rsidRPr="009B138C" w:rsidRDefault="00C74B52" w:rsidP="00C74B52">
      <w:r w:rsidRPr="009B138C">
        <w:t>6. Diez lancetas.</w:t>
      </w:r>
    </w:p>
    <w:p w14:paraId="509C5587" w14:textId="682C9764" w:rsidR="00C74B52" w:rsidRPr="009B138C" w:rsidRDefault="00C74B52" w:rsidP="00C74B52">
      <w:r w:rsidRPr="009B138C">
        <w:t xml:space="preserve">7. Diez </w:t>
      </w:r>
      <w:proofErr w:type="spellStart"/>
      <w:r w:rsidRPr="009B138C">
        <w:t>micro-pipetas</w:t>
      </w:r>
      <w:proofErr w:type="spellEnd"/>
      <w:r w:rsidRPr="009B138C">
        <w:t xml:space="preserve"> para recolección de muestra de sangre total por punción capilar, para las pruebas rápidas de VIH, VHB, VHC y de embarazo.</w:t>
      </w:r>
    </w:p>
    <w:p w14:paraId="78066C37" w14:textId="6F3641B4" w:rsidR="00D53691" w:rsidRPr="009B138C" w:rsidRDefault="00D53691" w:rsidP="00D53691">
      <w:r w:rsidRPr="009B138C">
        <w:t>9. Medicamentos antirretrovirales para la profilaxis del VIH:13 Las pautas de elección para la PPE consisten</w:t>
      </w:r>
      <w:r w:rsidR="00640000" w:rsidRPr="009B138C">
        <w:t xml:space="preserve"> </w:t>
      </w:r>
      <w:r w:rsidRPr="009B138C">
        <w:t>en la combinación de 2 inhibidores de la transcriptasa inversa análogos de nucleósidos / nucleótidos</w:t>
      </w:r>
      <w:r w:rsidR="00640000" w:rsidRPr="009B138C">
        <w:t xml:space="preserve"> </w:t>
      </w:r>
      <w:r w:rsidRPr="009B138C">
        <w:t>(ITIAN) asociados a un tercer ARV de otra familia. En general, se recomienda utilizar ARV de buena</w:t>
      </w:r>
      <w:r w:rsidR="00640000" w:rsidRPr="009B138C">
        <w:t xml:space="preserve"> </w:t>
      </w:r>
      <w:r w:rsidRPr="009B138C">
        <w:t>tolerancia y pocas interacciones, para mejorar la adherencia y evitar interacciones medicamentosas,</w:t>
      </w:r>
      <w:r w:rsidR="00640000" w:rsidRPr="009B138C">
        <w:t xml:space="preserve"> </w:t>
      </w:r>
      <w:r w:rsidRPr="009B138C">
        <w:t xml:space="preserve">para </w:t>
      </w:r>
      <w:proofErr w:type="gramStart"/>
      <w:r w:rsidRPr="009B138C">
        <w:t>niños y niñas</w:t>
      </w:r>
      <w:proofErr w:type="gramEnd"/>
      <w:r w:rsidRPr="009B138C">
        <w:t xml:space="preserve"> que no pueden ingerir pastillas, se recomiendan presentaciones en solución</w:t>
      </w:r>
      <w:r w:rsidR="00640000" w:rsidRPr="009B138C">
        <w:t xml:space="preserve"> </w:t>
      </w:r>
      <w:r w:rsidRPr="009B138C">
        <w:t>pediátrica.</w:t>
      </w:r>
    </w:p>
    <w:p w14:paraId="0C806BB7" w14:textId="3956D815" w:rsidR="00D53691" w:rsidRPr="009B138C" w:rsidRDefault="00D53691" w:rsidP="00D53691">
      <w:r w:rsidRPr="009B138C">
        <w:t>10. Medicamentos antibióticos para la profilaxis de las ITS: Las pautas profilácticas para ITS, deben incluir 3</w:t>
      </w:r>
      <w:r w:rsidR="00640000" w:rsidRPr="009B138C">
        <w:t xml:space="preserve"> </w:t>
      </w:r>
      <w:r w:rsidRPr="009B138C">
        <w:t>antibióticos para prevenir las infecciones por clamidia, sífilis, gonococo y tricomonas entre otras. Ver</w:t>
      </w:r>
      <w:r w:rsidR="00640000" w:rsidRPr="009B138C">
        <w:t xml:space="preserve"> </w:t>
      </w:r>
      <w:r w:rsidRPr="009B138C">
        <w:t>pautas para mayores y menores de 13 años.</w:t>
      </w:r>
    </w:p>
    <w:p w14:paraId="35B114B0" w14:textId="77777777" w:rsidR="00D53691" w:rsidRPr="009B138C" w:rsidRDefault="00D53691" w:rsidP="00D53691">
      <w:r w:rsidRPr="009B138C">
        <w:t>11. Profilaxis de la Hepatitis B: Vacuna contra hepatitis B y Gammaglobulina contra VHB.</w:t>
      </w:r>
    </w:p>
    <w:p w14:paraId="7FBD00B9" w14:textId="24F2A967" w:rsidR="00D53691" w:rsidRPr="009B138C" w:rsidRDefault="00D53691" w:rsidP="00D53691">
      <w:r w:rsidRPr="009B138C">
        <w:lastRenderedPageBreak/>
        <w:t>12. Anticoncepción de emergencia: Para mujeres que consultan antes de las 72 horas posteriores a la</w:t>
      </w:r>
      <w:r w:rsidR="00640000" w:rsidRPr="009B138C">
        <w:t xml:space="preserve"> </w:t>
      </w:r>
      <w:r w:rsidRPr="009B138C">
        <w:t>exposición: Progestina sintética de segunda generación 2 tabletas (</w:t>
      </w:r>
      <w:proofErr w:type="spellStart"/>
      <w:r w:rsidRPr="009B138C">
        <w:t>Levonorgestrel</w:t>
      </w:r>
      <w:proofErr w:type="spellEnd"/>
      <w:r w:rsidRPr="009B138C">
        <w:t>). Para los casos de</w:t>
      </w:r>
      <w:r w:rsidR="00640000" w:rsidRPr="009B138C">
        <w:t xml:space="preserve"> </w:t>
      </w:r>
      <w:r w:rsidRPr="009B138C">
        <w:t>mujeres que consulten entre las 72 horas y las 120 horas desde ocurrida la exposición: Progestina</w:t>
      </w:r>
      <w:r w:rsidR="00640000" w:rsidRPr="009B138C">
        <w:t xml:space="preserve"> </w:t>
      </w:r>
      <w:r w:rsidRPr="009B138C">
        <w:t>sintética (</w:t>
      </w:r>
      <w:proofErr w:type="spellStart"/>
      <w:r w:rsidRPr="009B138C">
        <w:t>levonorgestrel</w:t>
      </w:r>
      <w:proofErr w:type="spellEnd"/>
      <w:r w:rsidRPr="009B138C">
        <w:t xml:space="preserve"> en igual dosis) + aplicación in situ de 1 Dispositivo </w:t>
      </w:r>
      <w:proofErr w:type="spellStart"/>
      <w:r w:rsidRPr="009B138C">
        <w:t>intra-uterino</w:t>
      </w:r>
      <w:proofErr w:type="spellEnd"/>
      <w:r w:rsidRPr="009B138C">
        <w:t xml:space="preserve"> (DIU).</w:t>
      </w:r>
    </w:p>
    <w:p w14:paraId="10D1B4B1" w14:textId="77777777" w:rsidR="00D53691" w:rsidRPr="009B138C" w:rsidRDefault="00D53691" w:rsidP="00D53691">
      <w:r w:rsidRPr="009B138C">
        <w:t>13. Formatos de control de inventario y de fecha de vencimiento.</w:t>
      </w:r>
    </w:p>
    <w:p w14:paraId="11B8D1C4" w14:textId="0C59ABDD" w:rsidR="00C74B52" w:rsidRPr="009B138C" w:rsidRDefault="00D53691" w:rsidP="00D53691">
      <w:r w:rsidRPr="009B138C">
        <w:t>14. Formatos de reporte de interpretación de las pruebas rápidas.</w:t>
      </w:r>
    </w:p>
    <w:p w14:paraId="6722EFC9" w14:textId="52830A42" w:rsidR="00640000" w:rsidRPr="009B138C" w:rsidRDefault="00640000" w:rsidP="00640000">
      <w:r w:rsidRPr="009B138C">
        <w:t>* Se sugiere disponer de dos pruebas rápidas para VIH, Sífilis, VHB, VHC y embarazo, si fuera el caso de que la primera resulte inválida o que se pueda hacer la prueba a la fuente.</w:t>
      </w:r>
    </w:p>
    <w:p w14:paraId="082D6776" w14:textId="4ECEAF3F" w:rsidR="00F45684" w:rsidRPr="009B138C" w:rsidRDefault="00F45684" w:rsidP="00F45684">
      <w:r w:rsidRPr="009B138C">
        <w:t xml:space="preserve">13 Documento de Consenso sobre Profilaxis </w:t>
      </w:r>
      <w:proofErr w:type="spellStart"/>
      <w:r w:rsidRPr="009B138C">
        <w:t>post-exposición</w:t>
      </w:r>
      <w:proofErr w:type="spellEnd"/>
      <w:r w:rsidRPr="009B138C">
        <w:t xml:space="preserve"> ocupacional y no ocupacional en relación con el VIH, VHB y VHC en adultos y niños. GESIDA Marzo de 2015. Y Consenso de expertos Colombia 2016</w:t>
      </w:r>
    </w:p>
    <w:p w14:paraId="0F16F358" w14:textId="497C5F54" w:rsidR="00640000" w:rsidRDefault="00640000" w:rsidP="00AA2753">
      <w:pPr>
        <w:pStyle w:val="Ttulo2"/>
      </w:pPr>
      <w:bookmarkStart w:id="12" w:name="_Toc84920672"/>
      <w:r w:rsidRPr="00640000">
        <w:t>5.6.2 Solicitud de análisis de laboratorio al inicio de la atención de urgencia</w:t>
      </w:r>
      <w:bookmarkEnd w:id="12"/>
    </w:p>
    <w:p w14:paraId="6AE2FE76" w14:textId="77777777" w:rsidR="009B138C" w:rsidRDefault="009B138C" w:rsidP="00640000">
      <w:pPr>
        <w:rPr>
          <w:sz w:val="20"/>
          <w:szCs w:val="20"/>
        </w:rPr>
      </w:pPr>
    </w:p>
    <w:p w14:paraId="4361EB0A" w14:textId="7530C42E" w:rsidR="00640000" w:rsidRPr="009B138C" w:rsidRDefault="00640000" w:rsidP="00640000">
      <w:r w:rsidRPr="009B138C">
        <w:t xml:space="preserve">Con el objeto de obtener una línea de base sobre parámetros clínicos trazadores, relacionados con la toxicidad o los efectos secundarios de los medicamentos que se administrarán para la profilaxis </w:t>
      </w:r>
      <w:proofErr w:type="spellStart"/>
      <w:r w:rsidRPr="009B138C">
        <w:t>postexposición</w:t>
      </w:r>
      <w:proofErr w:type="spellEnd"/>
      <w:r w:rsidRPr="009B138C">
        <w:t>, o necesarios para la toma de decisiones de inicio o no de la profilaxis, se requiere solicitar los siguientes análisis paraclínicos:</w:t>
      </w:r>
    </w:p>
    <w:p w14:paraId="71F93F8B" w14:textId="77777777" w:rsidR="00640000" w:rsidRPr="009B138C" w:rsidRDefault="00640000" w:rsidP="00640000">
      <w:r w:rsidRPr="009B138C">
        <w:t>a) Cuadro hemático completo, función renal y hepática</w:t>
      </w:r>
    </w:p>
    <w:p w14:paraId="0207BF1F" w14:textId="77777777" w:rsidR="00640000" w:rsidRPr="009B138C" w:rsidRDefault="00640000" w:rsidP="00640000">
      <w:r w:rsidRPr="009B138C">
        <w:t>b) Prueba rápida para el VIH, VHB y VHC.</w:t>
      </w:r>
    </w:p>
    <w:p w14:paraId="7E3BB30B" w14:textId="77777777" w:rsidR="00640000" w:rsidRPr="009B138C" w:rsidRDefault="00640000" w:rsidP="00640000">
      <w:r w:rsidRPr="009B138C">
        <w:t>c) Prueba rápida de sífilis y descarte de otras ITS en las exposiciones sexuales.</w:t>
      </w:r>
    </w:p>
    <w:p w14:paraId="69AD020C" w14:textId="57709907" w:rsidR="00640000" w:rsidRPr="009B138C" w:rsidRDefault="00640000" w:rsidP="00640000">
      <w:r w:rsidRPr="009B138C">
        <w:t>d) Prueba de embarazo en mujeres con exposición sexual.</w:t>
      </w:r>
    </w:p>
    <w:p w14:paraId="75B85C31" w14:textId="77777777" w:rsidR="00640000" w:rsidRPr="009B138C" w:rsidRDefault="00640000" w:rsidP="00640000"/>
    <w:p w14:paraId="48E9038E" w14:textId="1E000086" w:rsidR="00F45684" w:rsidRPr="009B138C" w:rsidRDefault="00640000" w:rsidP="00640000">
      <w:r w:rsidRPr="009B138C">
        <w:t>El inicio de la PPE debe realizarse dentro de las 72 horas desde ocurrida la exposición. Si por algún motivo no se pueden obtener los resultados de los paraclínicos en ese plazo de tiempo no debe retardarse el inicio de la PEP. En casos de inicio de la atención tardía de la persona expuesta (más allá de 72 horas) debe evaluarse si aún son aplicables las profilaxis contra embarazo (hasta 5 días) y hepatitis B (hasta 7 días en exposición percutánea y 14 días en exposiciones sexuales).</w:t>
      </w:r>
    </w:p>
    <w:p w14:paraId="08FB51A3" w14:textId="0120E0A9" w:rsidR="00F45684" w:rsidRDefault="00F45684" w:rsidP="00AA2753">
      <w:pPr>
        <w:pStyle w:val="Ttulo2"/>
      </w:pPr>
      <w:bookmarkStart w:id="13" w:name="_Toc84920673"/>
      <w:r w:rsidRPr="00F45684">
        <w:t xml:space="preserve">5.6.3 Intervención farmacológica en profilaxis </w:t>
      </w:r>
      <w:proofErr w:type="spellStart"/>
      <w:r w:rsidRPr="00F45684">
        <w:t>post-exposición</w:t>
      </w:r>
      <w:proofErr w:type="spellEnd"/>
      <w:r w:rsidRPr="00F45684">
        <w:t xml:space="preserve"> del VIH, e ITS en personas con 13 años y más.</w:t>
      </w:r>
      <w:bookmarkEnd w:id="13"/>
    </w:p>
    <w:p w14:paraId="65576DE9" w14:textId="77777777" w:rsidR="00AA2753" w:rsidRPr="00AA2753" w:rsidRDefault="00AA2753" w:rsidP="00AA2753"/>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4"/>
        <w:gridCol w:w="4404"/>
      </w:tblGrid>
      <w:tr w:rsidR="001D62F2" w14:paraId="46115A0B" w14:textId="77777777" w:rsidTr="00451BBE">
        <w:tc>
          <w:tcPr>
            <w:tcW w:w="8828" w:type="dxa"/>
            <w:gridSpan w:val="2"/>
            <w:shd w:val="clear" w:color="auto" w:fill="767171" w:themeFill="background2" w:themeFillShade="80"/>
          </w:tcPr>
          <w:p w14:paraId="7D02113E" w14:textId="77777777" w:rsidR="001D62F2" w:rsidRPr="001D62F2" w:rsidRDefault="001D62F2" w:rsidP="001D62F2">
            <w:pPr>
              <w:autoSpaceDE w:val="0"/>
              <w:autoSpaceDN w:val="0"/>
              <w:adjustRightInd w:val="0"/>
              <w:jc w:val="center"/>
              <w:rPr>
                <w:rFonts w:cstheme="minorHAnsi"/>
                <w:b/>
                <w:bCs/>
                <w:sz w:val="18"/>
                <w:szCs w:val="18"/>
              </w:rPr>
            </w:pPr>
            <w:r w:rsidRPr="001D62F2">
              <w:rPr>
                <w:rFonts w:cstheme="minorHAnsi"/>
                <w:b/>
                <w:bCs/>
                <w:sz w:val="18"/>
                <w:szCs w:val="18"/>
              </w:rPr>
              <w:t>PROFILAXIS POST EXPOSICIÓN AL VIH Y LAS ITS</w:t>
            </w:r>
          </w:p>
          <w:p w14:paraId="18F33A54" w14:textId="535C6E22" w:rsidR="001D62F2" w:rsidRDefault="001D62F2" w:rsidP="001D62F2">
            <w:pPr>
              <w:jc w:val="center"/>
              <w:rPr>
                <w:color w:val="00B050"/>
                <w:sz w:val="20"/>
                <w:szCs w:val="20"/>
              </w:rPr>
            </w:pPr>
            <w:r w:rsidRPr="001D62F2">
              <w:rPr>
                <w:rFonts w:cstheme="minorHAnsi"/>
                <w:b/>
                <w:bCs/>
                <w:sz w:val="18"/>
                <w:szCs w:val="18"/>
              </w:rPr>
              <w:t>EN PERSONAS MAYORES DE 13 AÑOS, INCLUSO MUJERES GESTANTES</w:t>
            </w:r>
          </w:p>
        </w:tc>
      </w:tr>
      <w:tr w:rsidR="001D62F2" w14:paraId="28FC524A" w14:textId="77777777" w:rsidTr="00451BBE">
        <w:tc>
          <w:tcPr>
            <w:tcW w:w="8828" w:type="dxa"/>
            <w:gridSpan w:val="2"/>
            <w:shd w:val="clear" w:color="auto" w:fill="AEAAAA" w:themeFill="background2" w:themeFillShade="BF"/>
          </w:tcPr>
          <w:p w14:paraId="1D0CF7DB" w14:textId="77777777" w:rsidR="001D62F2" w:rsidRPr="001D62F2" w:rsidRDefault="001D62F2" w:rsidP="001D62F2">
            <w:pPr>
              <w:jc w:val="center"/>
              <w:rPr>
                <w:sz w:val="20"/>
                <w:szCs w:val="20"/>
              </w:rPr>
            </w:pPr>
            <w:r w:rsidRPr="001D62F2">
              <w:rPr>
                <w:b/>
                <w:bCs/>
                <w:sz w:val="20"/>
                <w:szCs w:val="20"/>
              </w:rPr>
              <w:lastRenderedPageBreak/>
              <w:t>Profilaxis post exposición del VIH:</w:t>
            </w:r>
            <w:r w:rsidRPr="001D62F2">
              <w:rPr>
                <w:sz w:val="20"/>
                <w:szCs w:val="20"/>
              </w:rPr>
              <w:t xml:space="preserve"> El servicio de salud que atienda la urgencia e inicie la profilaxis del</w:t>
            </w:r>
          </w:p>
          <w:p w14:paraId="158D5B50" w14:textId="77777777" w:rsidR="001D62F2" w:rsidRPr="001D62F2" w:rsidRDefault="001D62F2" w:rsidP="001D62F2">
            <w:pPr>
              <w:jc w:val="center"/>
              <w:rPr>
                <w:sz w:val="20"/>
                <w:szCs w:val="20"/>
              </w:rPr>
            </w:pPr>
            <w:r w:rsidRPr="001D62F2">
              <w:rPr>
                <w:sz w:val="20"/>
                <w:szCs w:val="20"/>
              </w:rPr>
              <w:t>VIH, debe en todos los casos entregar al alta del paciente, el total de las dosis necesarias para</w:t>
            </w:r>
          </w:p>
          <w:p w14:paraId="0FBB8C26" w14:textId="6AF4BBDD" w:rsidR="001D62F2" w:rsidRDefault="001D62F2" w:rsidP="001D62F2">
            <w:pPr>
              <w:jc w:val="center"/>
              <w:rPr>
                <w:color w:val="00B050"/>
                <w:sz w:val="20"/>
                <w:szCs w:val="20"/>
              </w:rPr>
            </w:pPr>
            <w:r w:rsidRPr="001D62F2">
              <w:rPr>
                <w:sz w:val="20"/>
                <w:szCs w:val="20"/>
              </w:rPr>
              <w:t>completar 30 días de tratamiento profiláctico.</w:t>
            </w:r>
          </w:p>
        </w:tc>
      </w:tr>
      <w:tr w:rsidR="00F45684" w14:paraId="511DE009" w14:textId="77777777" w:rsidTr="00451BBE">
        <w:tc>
          <w:tcPr>
            <w:tcW w:w="4414" w:type="dxa"/>
          </w:tcPr>
          <w:p w14:paraId="72EDBB78" w14:textId="7F6D6AE9" w:rsidR="00F45684" w:rsidRDefault="001D62F2" w:rsidP="00F45684">
            <w:pPr>
              <w:rPr>
                <w:color w:val="00B050"/>
                <w:sz w:val="20"/>
                <w:szCs w:val="20"/>
              </w:rPr>
            </w:pPr>
            <w:r w:rsidRPr="001D62F2">
              <w:rPr>
                <w:sz w:val="20"/>
                <w:szCs w:val="20"/>
              </w:rPr>
              <w:t>Medicamento</w:t>
            </w:r>
          </w:p>
        </w:tc>
        <w:tc>
          <w:tcPr>
            <w:tcW w:w="4414" w:type="dxa"/>
          </w:tcPr>
          <w:p w14:paraId="253DDB96" w14:textId="3C876775" w:rsidR="00F45684" w:rsidRDefault="001D62F2" w:rsidP="00F45684">
            <w:pPr>
              <w:rPr>
                <w:color w:val="00B050"/>
                <w:sz w:val="20"/>
                <w:szCs w:val="20"/>
              </w:rPr>
            </w:pPr>
            <w:r w:rsidRPr="001D62F2">
              <w:rPr>
                <w:sz w:val="20"/>
                <w:szCs w:val="20"/>
              </w:rPr>
              <w:t>Presentación y dosis</w:t>
            </w:r>
          </w:p>
        </w:tc>
      </w:tr>
      <w:tr w:rsidR="001D62F2" w14:paraId="0F4E4B58" w14:textId="77777777" w:rsidTr="00451BBE">
        <w:tc>
          <w:tcPr>
            <w:tcW w:w="4414" w:type="dxa"/>
          </w:tcPr>
          <w:p w14:paraId="04A982CE" w14:textId="77777777" w:rsidR="001D62F2" w:rsidRPr="001D62F2" w:rsidRDefault="001D62F2" w:rsidP="001D62F2">
            <w:pPr>
              <w:rPr>
                <w:sz w:val="20"/>
                <w:szCs w:val="20"/>
              </w:rPr>
            </w:pPr>
            <w:r w:rsidRPr="001D62F2">
              <w:rPr>
                <w:sz w:val="20"/>
                <w:szCs w:val="20"/>
              </w:rPr>
              <w:t>Primera opción:</w:t>
            </w:r>
          </w:p>
          <w:p w14:paraId="02288B3F" w14:textId="760BC232" w:rsidR="001D62F2" w:rsidRPr="001D62F2" w:rsidRDefault="001D62F2" w:rsidP="001D62F2">
            <w:pPr>
              <w:rPr>
                <w:sz w:val="20"/>
                <w:szCs w:val="20"/>
              </w:rPr>
            </w:pPr>
            <w:proofErr w:type="spellStart"/>
            <w:r w:rsidRPr="001D62F2">
              <w:rPr>
                <w:sz w:val="20"/>
                <w:szCs w:val="20"/>
              </w:rPr>
              <w:t>Tenofovir</w:t>
            </w:r>
            <w:proofErr w:type="spellEnd"/>
            <w:r w:rsidRPr="001D62F2">
              <w:rPr>
                <w:sz w:val="20"/>
                <w:szCs w:val="20"/>
              </w:rPr>
              <w:t xml:space="preserve"> / </w:t>
            </w:r>
            <w:proofErr w:type="spellStart"/>
            <w:r w:rsidRPr="001D62F2">
              <w:rPr>
                <w:sz w:val="20"/>
                <w:szCs w:val="20"/>
              </w:rPr>
              <w:t>emtricitabina</w:t>
            </w:r>
            <w:proofErr w:type="spellEnd"/>
            <w:r w:rsidRPr="001D62F2">
              <w:rPr>
                <w:sz w:val="20"/>
                <w:szCs w:val="20"/>
              </w:rPr>
              <w:t xml:space="preserve"> y </w:t>
            </w:r>
            <w:proofErr w:type="spellStart"/>
            <w:r w:rsidRPr="001D62F2">
              <w:rPr>
                <w:sz w:val="20"/>
                <w:szCs w:val="20"/>
              </w:rPr>
              <w:t>Dolutegravir</w:t>
            </w:r>
            <w:proofErr w:type="spellEnd"/>
          </w:p>
        </w:tc>
        <w:tc>
          <w:tcPr>
            <w:tcW w:w="4414" w:type="dxa"/>
            <w:vMerge w:val="restart"/>
          </w:tcPr>
          <w:p w14:paraId="64E755E0" w14:textId="77777777" w:rsidR="001D62F2" w:rsidRPr="001D62F2" w:rsidRDefault="001D62F2" w:rsidP="001D62F2">
            <w:pPr>
              <w:rPr>
                <w:sz w:val="20"/>
                <w:szCs w:val="20"/>
              </w:rPr>
            </w:pPr>
            <w:r w:rsidRPr="001D62F2">
              <w:rPr>
                <w:sz w:val="20"/>
                <w:szCs w:val="20"/>
              </w:rPr>
              <w:t xml:space="preserve">- </w:t>
            </w:r>
            <w:proofErr w:type="spellStart"/>
            <w:r w:rsidRPr="001D62F2">
              <w:rPr>
                <w:sz w:val="20"/>
                <w:szCs w:val="20"/>
              </w:rPr>
              <w:t>Tenofovir</w:t>
            </w:r>
            <w:proofErr w:type="spellEnd"/>
            <w:r w:rsidRPr="001D62F2">
              <w:rPr>
                <w:sz w:val="20"/>
                <w:szCs w:val="20"/>
              </w:rPr>
              <w:t xml:space="preserve"> / </w:t>
            </w:r>
            <w:proofErr w:type="spellStart"/>
            <w:r w:rsidRPr="001D62F2">
              <w:rPr>
                <w:sz w:val="20"/>
                <w:szCs w:val="20"/>
              </w:rPr>
              <w:t>emtricitabina</w:t>
            </w:r>
            <w:proofErr w:type="spellEnd"/>
            <w:r w:rsidRPr="001D62F2">
              <w:rPr>
                <w:sz w:val="20"/>
                <w:szCs w:val="20"/>
              </w:rPr>
              <w:t xml:space="preserve"> – tabletas x 300 / 200 – 1 al día</w:t>
            </w:r>
          </w:p>
          <w:p w14:paraId="19D6544F" w14:textId="77777777" w:rsidR="001D62F2" w:rsidRPr="001D62F2" w:rsidRDefault="001D62F2" w:rsidP="001D62F2">
            <w:pPr>
              <w:rPr>
                <w:sz w:val="20"/>
                <w:szCs w:val="20"/>
              </w:rPr>
            </w:pPr>
            <w:r w:rsidRPr="001D62F2">
              <w:rPr>
                <w:sz w:val="20"/>
                <w:szCs w:val="20"/>
              </w:rPr>
              <w:t>x 30</w:t>
            </w:r>
          </w:p>
          <w:p w14:paraId="4E6D1DAF" w14:textId="77777777" w:rsidR="001D62F2" w:rsidRPr="001D62F2" w:rsidRDefault="001D62F2" w:rsidP="001D62F2">
            <w:pPr>
              <w:rPr>
                <w:sz w:val="20"/>
                <w:szCs w:val="20"/>
              </w:rPr>
            </w:pPr>
            <w:r w:rsidRPr="001D62F2">
              <w:rPr>
                <w:sz w:val="20"/>
                <w:szCs w:val="20"/>
              </w:rPr>
              <w:t xml:space="preserve">- </w:t>
            </w:r>
            <w:proofErr w:type="spellStart"/>
            <w:r w:rsidRPr="001D62F2">
              <w:rPr>
                <w:sz w:val="20"/>
                <w:szCs w:val="20"/>
              </w:rPr>
              <w:t>Dolutegravir</w:t>
            </w:r>
            <w:proofErr w:type="spellEnd"/>
            <w:r w:rsidRPr="001D62F2">
              <w:rPr>
                <w:sz w:val="20"/>
                <w:szCs w:val="20"/>
              </w:rPr>
              <w:t xml:space="preserve"> – </w:t>
            </w:r>
            <w:proofErr w:type="spellStart"/>
            <w:r w:rsidRPr="001D62F2">
              <w:rPr>
                <w:sz w:val="20"/>
                <w:szCs w:val="20"/>
              </w:rPr>
              <w:t>tab</w:t>
            </w:r>
            <w:proofErr w:type="spellEnd"/>
            <w:r w:rsidRPr="001D62F2">
              <w:rPr>
                <w:sz w:val="20"/>
                <w:szCs w:val="20"/>
              </w:rPr>
              <w:t xml:space="preserve"> x 50 mg</w:t>
            </w:r>
          </w:p>
          <w:p w14:paraId="4B18AB40" w14:textId="77777777" w:rsidR="001D62F2" w:rsidRPr="001D62F2" w:rsidRDefault="001D62F2" w:rsidP="001D62F2">
            <w:pPr>
              <w:rPr>
                <w:sz w:val="20"/>
                <w:szCs w:val="20"/>
              </w:rPr>
            </w:pPr>
            <w:r w:rsidRPr="001D62F2">
              <w:rPr>
                <w:sz w:val="20"/>
                <w:szCs w:val="20"/>
              </w:rPr>
              <w:t>1 al día x 30 días.</w:t>
            </w:r>
          </w:p>
          <w:p w14:paraId="0C6E8694" w14:textId="77777777" w:rsidR="001D62F2" w:rsidRPr="001D62F2" w:rsidRDefault="001D62F2" w:rsidP="001D62F2">
            <w:pPr>
              <w:rPr>
                <w:sz w:val="20"/>
                <w:szCs w:val="20"/>
              </w:rPr>
            </w:pPr>
            <w:r w:rsidRPr="001D62F2">
              <w:rPr>
                <w:sz w:val="20"/>
                <w:szCs w:val="20"/>
              </w:rPr>
              <w:t xml:space="preserve">- </w:t>
            </w:r>
            <w:proofErr w:type="spellStart"/>
            <w:r w:rsidRPr="001D62F2">
              <w:rPr>
                <w:sz w:val="20"/>
                <w:szCs w:val="20"/>
              </w:rPr>
              <w:t>Darunavir</w:t>
            </w:r>
            <w:proofErr w:type="spellEnd"/>
            <w:r w:rsidRPr="001D62F2">
              <w:rPr>
                <w:sz w:val="20"/>
                <w:szCs w:val="20"/>
              </w:rPr>
              <w:t xml:space="preserve"> – </w:t>
            </w:r>
            <w:proofErr w:type="spellStart"/>
            <w:r w:rsidRPr="001D62F2">
              <w:rPr>
                <w:sz w:val="20"/>
                <w:szCs w:val="20"/>
              </w:rPr>
              <w:t>tab</w:t>
            </w:r>
            <w:proofErr w:type="spellEnd"/>
            <w:r w:rsidRPr="001D62F2">
              <w:rPr>
                <w:sz w:val="20"/>
                <w:szCs w:val="20"/>
              </w:rPr>
              <w:t xml:space="preserve"> x 800 mg</w:t>
            </w:r>
          </w:p>
          <w:p w14:paraId="072D8475" w14:textId="77777777" w:rsidR="001D62F2" w:rsidRPr="001D62F2" w:rsidRDefault="001D62F2" w:rsidP="001D62F2">
            <w:pPr>
              <w:rPr>
                <w:sz w:val="20"/>
                <w:szCs w:val="20"/>
              </w:rPr>
            </w:pPr>
            <w:r w:rsidRPr="001D62F2">
              <w:rPr>
                <w:sz w:val="20"/>
                <w:szCs w:val="20"/>
              </w:rPr>
              <w:t>1 al día x 30 días.</w:t>
            </w:r>
          </w:p>
          <w:p w14:paraId="783F21D1" w14:textId="77777777" w:rsidR="001D62F2" w:rsidRPr="001D62F2" w:rsidRDefault="001D62F2" w:rsidP="001D62F2">
            <w:pPr>
              <w:rPr>
                <w:sz w:val="20"/>
                <w:szCs w:val="20"/>
              </w:rPr>
            </w:pPr>
            <w:r w:rsidRPr="001D62F2">
              <w:rPr>
                <w:sz w:val="20"/>
                <w:szCs w:val="20"/>
              </w:rPr>
              <w:t xml:space="preserve">- </w:t>
            </w:r>
            <w:proofErr w:type="spellStart"/>
            <w:r w:rsidRPr="001D62F2">
              <w:rPr>
                <w:sz w:val="20"/>
                <w:szCs w:val="20"/>
              </w:rPr>
              <w:t>Atazanavir</w:t>
            </w:r>
            <w:proofErr w:type="spellEnd"/>
            <w:r w:rsidRPr="001D62F2">
              <w:rPr>
                <w:sz w:val="20"/>
                <w:szCs w:val="20"/>
              </w:rPr>
              <w:t xml:space="preserve"> – </w:t>
            </w:r>
            <w:proofErr w:type="spellStart"/>
            <w:r w:rsidRPr="001D62F2">
              <w:rPr>
                <w:sz w:val="20"/>
                <w:szCs w:val="20"/>
              </w:rPr>
              <w:t>Tab</w:t>
            </w:r>
            <w:proofErr w:type="spellEnd"/>
            <w:r w:rsidRPr="001D62F2">
              <w:rPr>
                <w:sz w:val="20"/>
                <w:szCs w:val="20"/>
              </w:rPr>
              <w:t xml:space="preserve"> x 300 mg</w:t>
            </w:r>
          </w:p>
          <w:p w14:paraId="29013A4D" w14:textId="77777777" w:rsidR="001D62F2" w:rsidRPr="001D62F2" w:rsidRDefault="001D62F2" w:rsidP="001D62F2">
            <w:pPr>
              <w:rPr>
                <w:sz w:val="20"/>
                <w:szCs w:val="20"/>
              </w:rPr>
            </w:pPr>
            <w:r w:rsidRPr="001D62F2">
              <w:rPr>
                <w:sz w:val="20"/>
                <w:szCs w:val="20"/>
              </w:rPr>
              <w:t>1 al día x 30 días.</w:t>
            </w:r>
          </w:p>
          <w:p w14:paraId="2F265AB0" w14:textId="77777777" w:rsidR="001D62F2" w:rsidRPr="001D62F2" w:rsidRDefault="001D62F2" w:rsidP="001D62F2">
            <w:pPr>
              <w:rPr>
                <w:sz w:val="20"/>
                <w:szCs w:val="20"/>
              </w:rPr>
            </w:pPr>
            <w:r w:rsidRPr="001D62F2">
              <w:rPr>
                <w:sz w:val="20"/>
                <w:szCs w:val="20"/>
              </w:rPr>
              <w:t xml:space="preserve">- Ritonavir – </w:t>
            </w:r>
            <w:proofErr w:type="spellStart"/>
            <w:r w:rsidRPr="001D62F2">
              <w:rPr>
                <w:sz w:val="20"/>
                <w:szCs w:val="20"/>
              </w:rPr>
              <w:t>Tab</w:t>
            </w:r>
            <w:proofErr w:type="spellEnd"/>
            <w:r w:rsidRPr="001D62F2">
              <w:rPr>
                <w:sz w:val="20"/>
                <w:szCs w:val="20"/>
              </w:rPr>
              <w:t xml:space="preserve"> x 100 mg</w:t>
            </w:r>
          </w:p>
          <w:p w14:paraId="6872986C" w14:textId="6D71ED0C" w:rsidR="001D62F2" w:rsidRDefault="001D62F2" w:rsidP="001D62F2">
            <w:pPr>
              <w:rPr>
                <w:color w:val="00B050"/>
                <w:sz w:val="20"/>
                <w:szCs w:val="20"/>
              </w:rPr>
            </w:pPr>
            <w:r w:rsidRPr="001D62F2">
              <w:rPr>
                <w:sz w:val="20"/>
                <w:szCs w:val="20"/>
              </w:rPr>
              <w:t>1 al día x 30 días.</w:t>
            </w:r>
          </w:p>
        </w:tc>
      </w:tr>
      <w:tr w:rsidR="001D62F2" w14:paraId="2620D1A5" w14:textId="77777777" w:rsidTr="00451BBE">
        <w:tc>
          <w:tcPr>
            <w:tcW w:w="4414" w:type="dxa"/>
          </w:tcPr>
          <w:p w14:paraId="4D466BA2" w14:textId="77777777" w:rsidR="001D62F2" w:rsidRPr="001D62F2" w:rsidRDefault="001D62F2" w:rsidP="001D62F2">
            <w:pPr>
              <w:rPr>
                <w:sz w:val="20"/>
                <w:szCs w:val="20"/>
              </w:rPr>
            </w:pPr>
            <w:r w:rsidRPr="001D62F2">
              <w:rPr>
                <w:sz w:val="20"/>
                <w:szCs w:val="20"/>
              </w:rPr>
              <w:t>Segunda opción:</w:t>
            </w:r>
          </w:p>
          <w:p w14:paraId="5D104B37" w14:textId="219C0DC7" w:rsidR="001D62F2" w:rsidRPr="001D62F2" w:rsidRDefault="001D62F2" w:rsidP="001D62F2">
            <w:pPr>
              <w:rPr>
                <w:sz w:val="20"/>
                <w:szCs w:val="20"/>
              </w:rPr>
            </w:pPr>
            <w:proofErr w:type="spellStart"/>
            <w:r w:rsidRPr="001D62F2">
              <w:rPr>
                <w:sz w:val="20"/>
                <w:szCs w:val="20"/>
              </w:rPr>
              <w:t>Tenofovir</w:t>
            </w:r>
            <w:proofErr w:type="spellEnd"/>
            <w:r w:rsidRPr="001D62F2">
              <w:rPr>
                <w:sz w:val="20"/>
                <w:szCs w:val="20"/>
              </w:rPr>
              <w:t xml:space="preserve"> / </w:t>
            </w:r>
            <w:proofErr w:type="spellStart"/>
            <w:r w:rsidRPr="001D62F2">
              <w:rPr>
                <w:sz w:val="20"/>
                <w:szCs w:val="20"/>
              </w:rPr>
              <w:t>emtricitabina</w:t>
            </w:r>
            <w:proofErr w:type="spellEnd"/>
            <w:r w:rsidRPr="001D62F2">
              <w:rPr>
                <w:sz w:val="20"/>
                <w:szCs w:val="20"/>
              </w:rPr>
              <w:t xml:space="preserve"> con </w:t>
            </w:r>
            <w:proofErr w:type="spellStart"/>
            <w:r w:rsidRPr="001D62F2">
              <w:rPr>
                <w:sz w:val="20"/>
                <w:szCs w:val="20"/>
              </w:rPr>
              <w:t>Darunavir</w:t>
            </w:r>
            <w:proofErr w:type="spellEnd"/>
            <w:r w:rsidRPr="001D62F2">
              <w:rPr>
                <w:sz w:val="20"/>
                <w:szCs w:val="20"/>
              </w:rPr>
              <w:t xml:space="preserve"> / ritonavir</w:t>
            </w:r>
          </w:p>
        </w:tc>
        <w:tc>
          <w:tcPr>
            <w:tcW w:w="4414" w:type="dxa"/>
            <w:vMerge/>
          </w:tcPr>
          <w:p w14:paraId="5522764A" w14:textId="77777777" w:rsidR="001D62F2" w:rsidRDefault="001D62F2" w:rsidP="00F45684">
            <w:pPr>
              <w:rPr>
                <w:color w:val="00B050"/>
                <w:sz w:val="20"/>
                <w:szCs w:val="20"/>
              </w:rPr>
            </w:pPr>
          </w:p>
        </w:tc>
      </w:tr>
      <w:tr w:rsidR="001D62F2" w14:paraId="43DD63A0" w14:textId="77777777" w:rsidTr="00451BBE">
        <w:tc>
          <w:tcPr>
            <w:tcW w:w="4414" w:type="dxa"/>
          </w:tcPr>
          <w:p w14:paraId="7DA27322" w14:textId="77777777" w:rsidR="001D62F2" w:rsidRPr="001D62F2" w:rsidRDefault="001D62F2" w:rsidP="001D62F2">
            <w:pPr>
              <w:rPr>
                <w:sz w:val="20"/>
                <w:szCs w:val="20"/>
              </w:rPr>
            </w:pPr>
            <w:r w:rsidRPr="001D62F2">
              <w:rPr>
                <w:sz w:val="20"/>
                <w:szCs w:val="20"/>
              </w:rPr>
              <w:t>Alternativa:</w:t>
            </w:r>
          </w:p>
          <w:p w14:paraId="456D051F" w14:textId="5C27E9AB" w:rsidR="001D62F2" w:rsidRPr="001D62F2" w:rsidRDefault="001D62F2" w:rsidP="001D62F2">
            <w:pPr>
              <w:rPr>
                <w:sz w:val="20"/>
                <w:szCs w:val="20"/>
              </w:rPr>
            </w:pPr>
            <w:proofErr w:type="spellStart"/>
            <w:r w:rsidRPr="001D62F2">
              <w:rPr>
                <w:sz w:val="20"/>
                <w:szCs w:val="20"/>
              </w:rPr>
              <w:t>Tenofovir</w:t>
            </w:r>
            <w:proofErr w:type="spellEnd"/>
            <w:r w:rsidRPr="001D62F2">
              <w:rPr>
                <w:sz w:val="20"/>
                <w:szCs w:val="20"/>
              </w:rPr>
              <w:t xml:space="preserve"> / </w:t>
            </w:r>
            <w:proofErr w:type="spellStart"/>
            <w:r w:rsidRPr="001D62F2">
              <w:rPr>
                <w:sz w:val="20"/>
                <w:szCs w:val="20"/>
              </w:rPr>
              <w:t>emtricitabina</w:t>
            </w:r>
            <w:proofErr w:type="spellEnd"/>
            <w:r w:rsidRPr="001D62F2">
              <w:rPr>
                <w:sz w:val="20"/>
                <w:szCs w:val="20"/>
              </w:rPr>
              <w:t xml:space="preserve"> y </w:t>
            </w:r>
            <w:proofErr w:type="spellStart"/>
            <w:r w:rsidRPr="001D62F2">
              <w:rPr>
                <w:sz w:val="20"/>
                <w:szCs w:val="20"/>
              </w:rPr>
              <w:t>Atazanavir</w:t>
            </w:r>
            <w:proofErr w:type="spellEnd"/>
            <w:r w:rsidRPr="001D62F2">
              <w:rPr>
                <w:sz w:val="20"/>
                <w:szCs w:val="20"/>
              </w:rPr>
              <w:t xml:space="preserve"> / ritonavir.</w:t>
            </w:r>
          </w:p>
        </w:tc>
        <w:tc>
          <w:tcPr>
            <w:tcW w:w="4414" w:type="dxa"/>
            <w:vMerge/>
          </w:tcPr>
          <w:p w14:paraId="026A5221" w14:textId="77777777" w:rsidR="001D62F2" w:rsidRDefault="001D62F2" w:rsidP="00F45684">
            <w:pPr>
              <w:rPr>
                <w:color w:val="00B050"/>
                <w:sz w:val="20"/>
                <w:szCs w:val="20"/>
              </w:rPr>
            </w:pPr>
          </w:p>
        </w:tc>
      </w:tr>
      <w:tr w:rsidR="001D62F2" w14:paraId="16E90680" w14:textId="77777777" w:rsidTr="00451BBE">
        <w:tc>
          <w:tcPr>
            <w:tcW w:w="8828" w:type="dxa"/>
            <w:gridSpan w:val="2"/>
            <w:shd w:val="clear" w:color="auto" w:fill="AEAAAA" w:themeFill="background2" w:themeFillShade="BF"/>
          </w:tcPr>
          <w:p w14:paraId="0FF075EF" w14:textId="4D920761" w:rsidR="001D62F2" w:rsidRDefault="001D62F2" w:rsidP="001D62F2">
            <w:pPr>
              <w:jc w:val="center"/>
              <w:rPr>
                <w:color w:val="00B050"/>
                <w:sz w:val="20"/>
                <w:szCs w:val="20"/>
              </w:rPr>
            </w:pPr>
            <w:r w:rsidRPr="001D62F2">
              <w:rPr>
                <w:b/>
                <w:bCs/>
                <w:sz w:val="20"/>
                <w:szCs w:val="20"/>
              </w:rPr>
              <w:t xml:space="preserve">Profilaxis </w:t>
            </w:r>
            <w:proofErr w:type="spellStart"/>
            <w:r w:rsidRPr="001D62F2">
              <w:rPr>
                <w:b/>
                <w:bCs/>
                <w:sz w:val="20"/>
                <w:szCs w:val="20"/>
              </w:rPr>
              <w:t>post-exposición</w:t>
            </w:r>
            <w:proofErr w:type="spellEnd"/>
            <w:r w:rsidRPr="001D62F2">
              <w:rPr>
                <w:b/>
                <w:bCs/>
                <w:sz w:val="20"/>
                <w:szCs w:val="20"/>
              </w:rPr>
              <w:t xml:space="preserve"> de las ITS.</w:t>
            </w:r>
            <w:r w:rsidRPr="001D62F2">
              <w:rPr>
                <w:sz w:val="20"/>
                <w:szCs w:val="20"/>
              </w:rPr>
              <w:t xml:space="preserve"> Dosis únicas.</w:t>
            </w:r>
          </w:p>
        </w:tc>
      </w:tr>
      <w:tr w:rsidR="001D62F2" w14:paraId="0E806D35" w14:textId="77777777" w:rsidTr="00451BBE">
        <w:tc>
          <w:tcPr>
            <w:tcW w:w="4414" w:type="dxa"/>
          </w:tcPr>
          <w:p w14:paraId="16035930" w14:textId="57A8A55A" w:rsidR="001D62F2" w:rsidRPr="001D62F2" w:rsidRDefault="001D62F2" w:rsidP="001D62F2">
            <w:pPr>
              <w:rPr>
                <w:sz w:val="20"/>
                <w:szCs w:val="20"/>
              </w:rPr>
            </w:pPr>
            <w:r w:rsidRPr="001D62F2">
              <w:rPr>
                <w:sz w:val="20"/>
                <w:szCs w:val="20"/>
              </w:rPr>
              <w:t>Medicamento</w:t>
            </w:r>
          </w:p>
        </w:tc>
        <w:tc>
          <w:tcPr>
            <w:tcW w:w="4414" w:type="dxa"/>
          </w:tcPr>
          <w:p w14:paraId="19813FFC" w14:textId="2BB42491" w:rsidR="001D62F2" w:rsidRDefault="001D62F2" w:rsidP="00F45684">
            <w:pPr>
              <w:rPr>
                <w:color w:val="00B050"/>
                <w:sz w:val="20"/>
                <w:szCs w:val="20"/>
              </w:rPr>
            </w:pPr>
            <w:r w:rsidRPr="001D62F2">
              <w:rPr>
                <w:color w:val="000000" w:themeColor="text1"/>
                <w:sz w:val="20"/>
                <w:szCs w:val="20"/>
              </w:rPr>
              <w:t>Presentación y dosis</w:t>
            </w:r>
          </w:p>
        </w:tc>
      </w:tr>
      <w:tr w:rsidR="001D62F2" w14:paraId="18B2AD0C" w14:textId="77777777" w:rsidTr="00451BBE">
        <w:tc>
          <w:tcPr>
            <w:tcW w:w="4414" w:type="dxa"/>
          </w:tcPr>
          <w:p w14:paraId="373FC428" w14:textId="77777777" w:rsidR="003834C5" w:rsidRPr="003834C5" w:rsidRDefault="003834C5" w:rsidP="003834C5">
            <w:pPr>
              <w:rPr>
                <w:sz w:val="20"/>
                <w:szCs w:val="20"/>
              </w:rPr>
            </w:pPr>
            <w:r w:rsidRPr="003834C5">
              <w:rPr>
                <w:sz w:val="20"/>
                <w:szCs w:val="20"/>
              </w:rPr>
              <w:t>Ceftriaxona 500 mg . (1 ampolla) +</w:t>
            </w:r>
          </w:p>
          <w:p w14:paraId="245504E1" w14:textId="77777777" w:rsidR="003834C5" w:rsidRPr="003834C5" w:rsidRDefault="003834C5" w:rsidP="003834C5">
            <w:pPr>
              <w:rPr>
                <w:sz w:val="20"/>
                <w:szCs w:val="20"/>
              </w:rPr>
            </w:pPr>
            <w:r w:rsidRPr="003834C5">
              <w:rPr>
                <w:sz w:val="20"/>
                <w:szCs w:val="20"/>
              </w:rPr>
              <w:t>- Metronidazol 2 gr. (4 tabletas) +</w:t>
            </w:r>
          </w:p>
          <w:p w14:paraId="59FE5D41" w14:textId="77777777" w:rsidR="001D62F2" w:rsidRDefault="003834C5" w:rsidP="003834C5">
            <w:pPr>
              <w:rPr>
                <w:sz w:val="20"/>
                <w:szCs w:val="20"/>
              </w:rPr>
            </w:pPr>
            <w:r w:rsidRPr="003834C5">
              <w:rPr>
                <w:sz w:val="20"/>
                <w:szCs w:val="20"/>
              </w:rPr>
              <w:t>- Azitromicina 1 gr. (2 tabletas).</w:t>
            </w:r>
          </w:p>
          <w:p w14:paraId="23147434" w14:textId="77777777" w:rsidR="003834C5" w:rsidRDefault="003834C5" w:rsidP="003834C5">
            <w:pPr>
              <w:rPr>
                <w:sz w:val="20"/>
                <w:szCs w:val="20"/>
              </w:rPr>
            </w:pPr>
          </w:p>
          <w:p w14:paraId="5ED5642D" w14:textId="77777777" w:rsidR="003834C5" w:rsidRPr="003834C5" w:rsidRDefault="003834C5" w:rsidP="003834C5">
            <w:pPr>
              <w:rPr>
                <w:sz w:val="20"/>
                <w:szCs w:val="20"/>
              </w:rPr>
            </w:pPr>
            <w:r w:rsidRPr="003834C5">
              <w:rPr>
                <w:sz w:val="20"/>
                <w:szCs w:val="20"/>
              </w:rPr>
              <w:t>En caso de tratarse de una mujer gestante, se</w:t>
            </w:r>
          </w:p>
          <w:p w14:paraId="3B7108A9" w14:textId="77777777" w:rsidR="003834C5" w:rsidRPr="003834C5" w:rsidRDefault="003834C5" w:rsidP="003834C5">
            <w:pPr>
              <w:rPr>
                <w:sz w:val="20"/>
                <w:szCs w:val="20"/>
              </w:rPr>
            </w:pPr>
            <w:r w:rsidRPr="003834C5">
              <w:rPr>
                <w:sz w:val="20"/>
                <w:szCs w:val="20"/>
              </w:rPr>
              <w:t>debe adicionar a la Ceftriaxona, el Metronidazol y a</w:t>
            </w:r>
          </w:p>
          <w:p w14:paraId="7A660DF6" w14:textId="77777777" w:rsidR="003834C5" w:rsidRPr="003834C5" w:rsidRDefault="003834C5" w:rsidP="003834C5">
            <w:pPr>
              <w:rPr>
                <w:sz w:val="20"/>
                <w:szCs w:val="20"/>
              </w:rPr>
            </w:pPr>
            <w:r w:rsidRPr="003834C5">
              <w:rPr>
                <w:sz w:val="20"/>
                <w:szCs w:val="20"/>
              </w:rPr>
              <w:t>la Azitromicina, Penicilina Benzatínica 2´400.000</w:t>
            </w:r>
          </w:p>
          <w:p w14:paraId="49D7D022" w14:textId="38329D04" w:rsidR="003834C5" w:rsidRPr="001D62F2" w:rsidRDefault="003834C5" w:rsidP="003834C5">
            <w:pPr>
              <w:rPr>
                <w:sz w:val="20"/>
                <w:szCs w:val="20"/>
              </w:rPr>
            </w:pPr>
            <w:r w:rsidRPr="003834C5">
              <w:rPr>
                <w:sz w:val="20"/>
                <w:szCs w:val="20"/>
              </w:rPr>
              <w:t>unidades, dosis única</w:t>
            </w:r>
          </w:p>
        </w:tc>
        <w:tc>
          <w:tcPr>
            <w:tcW w:w="4414" w:type="dxa"/>
          </w:tcPr>
          <w:p w14:paraId="72F376B6" w14:textId="77777777" w:rsidR="003834C5" w:rsidRPr="003834C5" w:rsidRDefault="003834C5" w:rsidP="003834C5">
            <w:pPr>
              <w:rPr>
                <w:color w:val="000000" w:themeColor="text1"/>
                <w:sz w:val="20"/>
                <w:szCs w:val="20"/>
              </w:rPr>
            </w:pPr>
            <w:r w:rsidRPr="003834C5">
              <w:rPr>
                <w:color w:val="000000" w:themeColor="text1"/>
                <w:sz w:val="20"/>
                <w:szCs w:val="20"/>
              </w:rPr>
              <w:t>- Ceftriaxona 500 mg. (1 ampolla) +</w:t>
            </w:r>
          </w:p>
          <w:p w14:paraId="011E255F" w14:textId="77777777" w:rsidR="003834C5" w:rsidRPr="003834C5" w:rsidRDefault="003834C5" w:rsidP="003834C5">
            <w:pPr>
              <w:rPr>
                <w:color w:val="000000" w:themeColor="text1"/>
                <w:sz w:val="20"/>
                <w:szCs w:val="20"/>
              </w:rPr>
            </w:pPr>
            <w:r w:rsidRPr="003834C5">
              <w:rPr>
                <w:color w:val="000000" w:themeColor="text1"/>
                <w:sz w:val="20"/>
                <w:szCs w:val="20"/>
              </w:rPr>
              <w:t>- Metronidazol 2 gr. (4 tabletas) +</w:t>
            </w:r>
          </w:p>
          <w:p w14:paraId="7C8C6DB9" w14:textId="77777777" w:rsidR="003834C5" w:rsidRPr="003834C5" w:rsidRDefault="003834C5" w:rsidP="003834C5">
            <w:pPr>
              <w:rPr>
                <w:color w:val="000000" w:themeColor="text1"/>
                <w:sz w:val="20"/>
                <w:szCs w:val="20"/>
              </w:rPr>
            </w:pPr>
            <w:r w:rsidRPr="003834C5">
              <w:rPr>
                <w:color w:val="000000" w:themeColor="text1"/>
                <w:sz w:val="20"/>
                <w:szCs w:val="20"/>
              </w:rPr>
              <w:t>- Azitromicina 1 gr. (2 tabletas) +</w:t>
            </w:r>
          </w:p>
          <w:p w14:paraId="325A4599" w14:textId="77777777" w:rsidR="003834C5" w:rsidRPr="003834C5" w:rsidRDefault="003834C5" w:rsidP="003834C5">
            <w:pPr>
              <w:rPr>
                <w:color w:val="000000" w:themeColor="text1"/>
                <w:sz w:val="20"/>
                <w:szCs w:val="20"/>
              </w:rPr>
            </w:pPr>
            <w:r w:rsidRPr="003834C5">
              <w:rPr>
                <w:color w:val="000000" w:themeColor="text1"/>
                <w:sz w:val="20"/>
                <w:szCs w:val="20"/>
              </w:rPr>
              <w:t xml:space="preserve">- En Gestantes: Penicilina </w:t>
            </w:r>
            <w:proofErr w:type="spellStart"/>
            <w:r w:rsidRPr="003834C5">
              <w:rPr>
                <w:color w:val="000000" w:themeColor="text1"/>
                <w:sz w:val="20"/>
                <w:szCs w:val="20"/>
              </w:rPr>
              <w:t>Benzatinica</w:t>
            </w:r>
            <w:proofErr w:type="spellEnd"/>
            <w:r w:rsidRPr="003834C5">
              <w:rPr>
                <w:color w:val="000000" w:themeColor="text1"/>
                <w:sz w:val="20"/>
                <w:szCs w:val="20"/>
              </w:rPr>
              <w:t xml:space="preserve"> IM x 2.400.000 UI.</w:t>
            </w:r>
          </w:p>
          <w:p w14:paraId="77587CA5" w14:textId="2F80C14E" w:rsidR="001D62F2" w:rsidRPr="003834C5" w:rsidRDefault="003834C5" w:rsidP="003834C5">
            <w:pPr>
              <w:rPr>
                <w:color w:val="000000" w:themeColor="text1"/>
                <w:sz w:val="20"/>
                <w:szCs w:val="20"/>
              </w:rPr>
            </w:pPr>
            <w:r w:rsidRPr="003834C5">
              <w:rPr>
                <w:color w:val="000000" w:themeColor="text1"/>
                <w:sz w:val="20"/>
                <w:szCs w:val="20"/>
              </w:rPr>
              <w:t>En caso de antecedente de alergia a la Penicilina, se</w:t>
            </w:r>
            <w:r>
              <w:rPr>
                <w:color w:val="000000" w:themeColor="text1"/>
                <w:sz w:val="20"/>
                <w:szCs w:val="20"/>
              </w:rPr>
              <w:t xml:space="preserve"> </w:t>
            </w:r>
            <w:r w:rsidRPr="003834C5">
              <w:rPr>
                <w:color w:val="000000" w:themeColor="text1"/>
                <w:sz w:val="20"/>
                <w:szCs w:val="20"/>
              </w:rPr>
              <w:t xml:space="preserve">debe </w:t>
            </w:r>
            <w:proofErr w:type="gramStart"/>
            <w:r w:rsidRPr="003834C5">
              <w:rPr>
                <w:color w:val="000000" w:themeColor="text1"/>
                <w:sz w:val="20"/>
                <w:szCs w:val="20"/>
              </w:rPr>
              <w:t>proceder a desensibilizar</w:t>
            </w:r>
            <w:proofErr w:type="gramEnd"/>
            <w:r w:rsidRPr="003834C5">
              <w:rPr>
                <w:color w:val="000000" w:themeColor="text1"/>
                <w:sz w:val="20"/>
                <w:szCs w:val="20"/>
              </w:rPr>
              <w:t>, según las indicaciones</w:t>
            </w:r>
            <w:r>
              <w:rPr>
                <w:color w:val="000000" w:themeColor="text1"/>
                <w:sz w:val="20"/>
                <w:szCs w:val="20"/>
              </w:rPr>
              <w:t xml:space="preserve"> </w:t>
            </w:r>
            <w:r w:rsidRPr="003834C5">
              <w:rPr>
                <w:color w:val="000000" w:themeColor="text1"/>
                <w:sz w:val="20"/>
                <w:szCs w:val="20"/>
              </w:rPr>
              <w:t>de la Guía de Práctica clínica para Sífilis gestacional y</w:t>
            </w:r>
            <w:r>
              <w:rPr>
                <w:color w:val="000000" w:themeColor="text1"/>
                <w:sz w:val="20"/>
                <w:szCs w:val="20"/>
              </w:rPr>
              <w:t xml:space="preserve"> </w:t>
            </w:r>
            <w:r w:rsidRPr="003834C5">
              <w:rPr>
                <w:color w:val="000000" w:themeColor="text1"/>
                <w:sz w:val="20"/>
                <w:szCs w:val="20"/>
              </w:rPr>
              <w:t>congénita.</w:t>
            </w:r>
          </w:p>
        </w:tc>
      </w:tr>
    </w:tbl>
    <w:p w14:paraId="34001EE2" w14:textId="77777777" w:rsidR="00640000" w:rsidRPr="003834C5" w:rsidRDefault="00640000" w:rsidP="00640000">
      <w:pPr>
        <w:rPr>
          <w:color w:val="000000" w:themeColor="text1"/>
          <w:sz w:val="20"/>
          <w:szCs w:val="20"/>
        </w:rPr>
      </w:pPr>
    </w:p>
    <w:p w14:paraId="7D1F3D95" w14:textId="32E028E9" w:rsidR="00C74B52" w:rsidRPr="009B138C" w:rsidRDefault="003834C5" w:rsidP="003834C5">
      <w:pPr>
        <w:rPr>
          <w:b/>
          <w:bCs/>
          <w:color w:val="000000" w:themeColor="text1"/>
        </w:rPr>
      </w:pPr>
      <w:r w:rsidRPr="009B138C">
        <w:rPr>
          <w:b/>
          <w:bCs/>
          <w:color w:val="000000" w:themeColor="text1"/>
        </w:rPr>
        <w:t>Tabla 7. Resumen de efectos secundarios de los ARV recomendados para la PPE en adolescentes y adultos. 14</w:t>
      </w:r>
    </w:p>
    <w:p w14:paraId="6AB5F076" w14:textId="77777777" w:rsidR="006C5018" w:rsidRPr="006C5018" w:rsidRDefault="006C5018" w:rsidP="006C5018">
      <w:pPr>
        <w:autoSpaceDE w:val="0"/>
        <w:autoSpaceDN w:val="0"/>
        <w:adjustRightInd w:val="0"/>
        <w:spacing w:after="0" w:line="240" w:lineRule="auto"/>
        <w:rPr>
          <w:rFonts w:cstheme="minorHAnsi"/>
          <w:color w:val="000000"/>
          <w:sz w:val="16"/>
          <w:szCs w:val="16"/>
        </w:rPr>
      </w:pPr>
      <w:r w:rsidRPr="006C5018">
        <w:rPr>
          <w:rFonts w:cstheme="minorHAnsi"/>
          <w:color w:val="000000"/>
          <w:sz w:val="16"/>
          <w:szCs w:val="16"/>
        </w:rPr>
        <w:t>14</w:t>
      </w:r>
    </w:p>
    <w:p w14:paraId="60D6DFF8" w14:textId="77777777" w:rsidR="006C5018" w:rsidRPr="006C5018" w:rsidRDefault="006C5018" w:rsidP="006C5018">
      <w:pPr>
        <w:autoSpaceDE w:val="0"/>
        <w:autoSpaceDN w:val="0"/>
        <w:adjustRightInd w:val="0"/>
        <w:spacing w:after="0" w:line="240" w:lineRule="auto"/>
        <w:rPr>
          <w:rFonts w:cstheme="minorHAnsi"/>
          <w:color w:val="000000"/>
          <w:sz w:val="18"/>
          <w:szCs w:val="18"/>
        </w:rPr>
      </w:pPr>
      <w:r w:rsidRPr="006C5018">
        <w:rPr>
          <w:rFonts w:cstheme="minorHAnsi"/>
          <w:color w:val="000000"/>
          <w:sz w:val="18"/>
          <w:szCs w:val="18"/>
        </w:rPr>
        <w:t xml:space="preserve">Colombia, Ministerio de Salud y Protección Social </w:t>
      </w:r>
      <w:r w:rsidRPr="006C5018">
        <w:rPr>
          <w:rFonts w:cstheme="minorHAnsi"/>
          <w:color w:val="464749"/>
          <w:sz w:val="18"/>
          <w:szCs w:val="18"/>
        </w:rPr>
        <w:t xml:space="preserve">Guía de práctica clínica </w:t>
      </w:r>
      <w:r w:rsidRPr="006C5018">
        <w:rPr>
          <w:rFonts w:cstheme="minorHAnsi"/>
          <w:color w:val="000000"/>
          <w:sz w:val="18"/>
          <w:szCs w:val="18"/>
        </w:rPr>
        <w:t>basada en la evidencia científica para la atención de la infección por</w:t>
      </w:r>
    </w:p>
    <w:p w14:paraId="5C8E3F98" w14:textId="2E5B05A9" w:rsidR="006C5018" w:rsidRPr="006C5018" w:rsidRDefault="006C5018" w:rsidP="006C5018">
      <w:pPr>
        <w:rPr>
          <w:rFonts w:cstheme="minorHAnsi"/>
          <w:b/>
          <w:bCs/>
          <w:color w:val="000000" w:themeColor="text1"/>
          <w:sz w:val="20"/>
          <w:szCs w:val="20"/>
        </w:rPr>
      </w:pPr>
      <w:r w:rsidRPr="006C5018">
        <w:rPr>
          <w:rFonts w:cstheme="minorHAnsi"/>
          <w:color w:val="000000"/>
          <w:sz w:val="18"/>
          <w:szCs w:val="18"/>
        </w:rPr>
        <w:t xml:space="preserve">VIH/Sida en adolescentes (con 13 </w:t>
      </w:r>
      <w:proofErr w:type="gramStart"/>
      <w:r w:rsidRPr="006C5018">
        <w:rPr>
          <w:rFonts w:cstheme="minorHAnsi"/>
          <w:color w:val="000000"/>
          <w:sz w:val="18"/>
          <w:szCs w:val="18"/>
        </w:rPr>
        <w:t>años de edad</w:t>
      </w:r>
      <w:proofErr w:type="gramEnd"/>
      <w:r w:rsidRPr="006C5018">
        <w:rPr>
          <w:rFonts w:cstheme="minorHAnsi"/>
          <w:color w:val="000000"/>
          <w:sz w:val="18"/>
          <w:szCs w:val="18"/>
        </w:rPr>
        <w:t xml:space="preserve"> o más) y adultos.</w:t>
      </w:r>
      <w:r w:rsidRPr="006C5018">
        <w:rPr>
          <w:rFonts w:cstheme="minorHAnsi"/>
          <w:color w:val="464749"/>
          <w:sz w:val="18"/>
          <w:szCs w:val="18"/>
        </w:rPr>
        <w:t>/ GPC-2014-39</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1"/>
        <w:gridCol w:w="2203"/>
        <w:gridCol w:w="2201"/>
        <w:gridCol w:w="2203"/>
      </w:tblGrid>
      <w:tr w:rsidR="003834C5" w14:paraId="327CC60E" w14:textId="77777777" w:rsidTr="00451BBE">
        <w:tc>
          <w:tcPr>
            <w:tcW w:w="2207" w:type="dxa"/>
            <w:shd w:val="clear" w:color="auto" w:fill="AEAAAA" w:themeFill="background2" w:themeFillShade="BF"/>
          </w:tcPr>
          <w:p w14:paraId="31640783" w14:textId="77777777" w:rsidR="003834C5" w:rsidRDefault="003834C5" w:rsidP="00C61E51">
            <w:pPr>
              <w:rPr>
                <w:sz w:val="18"/>
                <w:szCs w:val="18"/>
              </w:rPr>
            </w:pPr>
          </w:p>
        </w:tc>
        <w:tc>
          <w:tcPr>
            <w:tcW w:w="2207" w:type="dxa"/>
            <w:shd w:val="clear" w:color="auto" w:fill="AEAAAA" w:themeFill="background2" w:themeFillShade="BF"/>
          </w:tcPr>
          <w:p w14:paraId="4E5308E3" w14:textId="77777777" w:rsidR="006C5018" w:rsidRPr="006C5018" w:rsidRDefault="006C5018" w:rsidP="006C5018">
            <w:pPr>
              <w:rPr>
                <w:b/>
                <w:bCs/>
                <w:sz w:val="18"/>
                <w:szCs w:val="18"/>
              </w:rPr>
            </w:pPr>
            <w:r w:rsidRPr="006C5018">
              <w:rPr>
                <w:b/>
                <w:bCs/>
                <w:sz w:val="18"/>
                <w:szCs w:val="18"/>
              </w:rPr>
              <w:t>EFECTOS</w:t>
            </w:r>
          </w:p>
          <w:p w14:paraId="6580FE69" w14:textId="6288C82D" w:rsidR="003834C5" w:rsidRDefault="006C5018" w:rsidP="006C5018">
            <w:pPr>
              <w:rPr>
                <w:sz w:val="18"/>
                <w:szCs w:val="18"/>
              </w:rPr>
            </w:pPr>
            <w:r w:rsidRPr="006C5018">
              <w:rPr>
                <w:b/>
                <w:bCs/>
                <w:sz w:val="18"/>
                <w:szCs w:val="18"/>
              </w:rPr>
              <w:t>SECUNDARIOS</w:t>
            </w:r>
          </w:p>
        </w:tc>
        <w:tc>
          <w:tcPr>
            <w:tcW w:w="2207" w:type="dxa"/>
            <w:shd w:val="clear" w:color="auto" w:fill="AEAAAA" w:themeFill="background2" w:themeFillShade="BF"/>
          </w:tcPr>
          <w:p w14:paraId="20ACE979" w14:textId="6002B7B9" w:rsidR="003834C5" w:rsidRPr="006C5018" w:rsidRDefault="006C5018" w:rsidP="00C61E51">
            <w:pPr>
              <w:rPr>
                <w:rFonts w:cstheme="minorHAnsi"/>
                <w:sz w:val="18"/>
                <w:szCs w:val="18"/>
              </w:rPr>
            </w:pPr>
            <w:r w:rsidRPr="006C5018">
              <w:rPr>
                <w:rFonts w:cstheme="minorHAnsi"/>
                <w:b/>
                <w:bCs/>
                <w:sz w:val="18"/>
                <w:szCs w:val="18"/>
              </w:rPr>
              <w:t>FACTORES DE RIESGO</w:t>
            </w:r>
          </w:p>
        </w:tc>
        <w:tc>
          <w:tcPr>
            <w:tcW w:w="2207" w:type="dxa"/>
            <w:shd w:val="clear" w:color="auto" w:fill="AEAAAA" w:themeFill="background2" w:themeFillShade="BF"/>
          </w:tcPr>
          <w:p w14:paraId="24858CF1" w14:textId="6FCBEFFF" w:rsidR="003834C5" w:rsidRPr="006C5018" w:rsidRDefault="006C5018" w:rsidP="00C61E51">
            <w:pPr>
              <w:rPr>
                <w:b/>
                <w:bCs/>
                <w:sz w:val="18"/>
                <w:szCs w:val="18"/>
              </w:rPr>
            </w:pPr>
            <w:r w:rsidRPr="006C5018">
              <w:rPr>
                <w:b/>
                <w:bCs/>
                <w:sz w:val="18"/>
                <w:szCs w:val="18"/>
              </w:rPr>
              <w:t>RECOMENDACIÓN</w:t>
            </w:r>
          </w:p>
        </w:tc>
      </w:tr>
      <w:tr w:rsidR="006C5018" w14:paraId="6F4CFD46" w14:textId="77777777" w:rsidTr="00451BBE">
        <w:tc>
          <w:tcPr>
            <w:tcW w:w="2207" w:type="dxa"/>
            <w:vMerge w:val="restart"/>
            <w:shd w:val="clear" w:color="auto" w:fill="AEAAAA" w:themeFill="background2" w:themeFillShade="BF"/>
          </w:tcPr>
          <w:p w14:paraId="7FB0EE20" w14:textId="77777777" w:rsidR="006C5018" w:rsidRDefault="006C5018" w:rsidP="006C5018">
            <w:pPr>
              <w:jc w:val="center"/>
              <w:rPr>
                <w:b/>
                <w:bCs/>
                <w:sz w:val="18"/>
                <w:szCs w:val="18"/>
              </w:rPr>
            </w:pPr>
          </w:p>
          <w:p w14:paraId="07BF7B44" w14:textId="77777777" w:rsidR="006C5018" w:rsidRDefault="006C5018" w:rsidP="006C5018">
            <w:pPr>
              <w:jc w:val="center"/>
              <w:rPr>
                <w:b/>
                <w:bCs/>
                <w:sz w:val="18"/>
                <w:szCs w:val="18"/>
              </w:rPr>
            </w:pPr>
          </w:p>
          <w:p w14:paraId="12B062E0" w14:textId="77777777" w:rsidR="006C5018" w:rsidRDefault="006C5018" w:rsidP="006C5018">
            <w:pPr>
              <w:jc w:val="center"/>
              <w:rPr>
                <w:b/>
                <w:bCs/>
                <w:sz w:val="18"/>
                <w:szCs w:val="18"/>
              </w:rPr>
            </w:pPr>
          </w:p>
          <w:p w14:paraId="5BBA4510" w14:textId="77777777" w:rsidR="006C5018" w:rsidRDefault="006C5018" w:rsidP="006C5018">
            <w:pPr>
              <w:jc w:val="center"/>
              <w:rPr>
                <w:b/>
                <w:bCs/>
                <w:sz w:val="18"/>
                <w:szCs w:val="18"/>
              </w:rPr>
            </w:pPr>
          </w:p>
          <w:p w14:paraId="3CE99269" w14:textId="77777777" w:rsidR="006C5018" w:rsidRDefault="006C5018" w:rsidP="006C5018">
            <w:pPr>
              <w:jc w:val="center"/>
              <w:rPr>
                <w:b/>
                <w:bCs/>
                <w:sz w:val="18"/>
                <w:szCs w:val="18"/>
              </w:rPr>
            </w:pPr>
          </w:p>
          <w:p w14:paraId="65FCEB6A" w14:textId="77777777" w:rsidR="006C5018" w:rsidRDefault="006C5018" w:rsidP="006C5018">
            <w:pPr>
              <w:jc w:val="center"/>
              <w:rPr>
                <w:b/>
                <w:bCs/>
                <w:sz w:val="18"/>
                <w:szCs w:val="18"/>
              </w:rPr>
            </w:pPr>
          </w:p>
          <w:p w14:paraId="77C6CC04" w14:textId="67A2A766" w:rsidR="006C5018" w:rsidRPr="006C5018" w:rsidRDefault="006C5018" w:rsidP="006C5018">
            <w:pPr>
              <w:jc w:val="center"/>
              <w:rPr>
                <w:b/>
                <w:bCs/>
                <w:sz w:val="18"/>
                <w:szCs w:val="18"/>
              </w:rPr>
            </w:pPr>
            <w:proofErr w:type="spellStart"/>
            <w:r w:rsidRPr="006C5018">
              <w:rPr>
                <w:b/>
                <w:bCs/>
                <w:sz w:val="18"/>
                <w:szCs w:val="18"/>
              </w:rPr>
              <w:t>Atazanavir</w:t>
            </w:r>
            <w:proofErr w:type="spellEnd"/>
            <w:r w:rsidRPr="006C5018">
              <w:rPr>
                <w:b/>
                <w:bCs/>
                <w:sz w:val="18"/>
                <w:szCs w:val="18"/>
              </w:rPr>
              <w:t xml:space="preserve"> más</w:t>
            </w:r>
            <w:r>
              <w:rPr>
                <w:b/>
                <w:bCs/>
                <w:sz w:val="18"/>
                <w:szCs w:val="18"/>
              </w:rPr>
              <w:t xml:space="preserve"> </w:t>
            </w:r>
            <w:r w:rsidRPr="006C5018">
              <w:rPr>
                <w:b/>
                <w:bCs/>
                <w:sz w:val="18"/>
                <w:szCs w:val="18"/>
              </w:rPr>
              <w:t>ritonavir (ATV /</w:t>
            </w:r>
            <w:r>
              <w:rPr>
                <w:b/>
                <w:bCs/>
                <w:sz w:val="18"/>
                <w:szCs w:val="18"/>
              </w:rPr>
              <w:t xml:space="preserve"> </w:t>
            </w:r>
            <w:r w:rsidRPr="006C5018">
              <w:rPr>
                <w:b/>
                <w:bCs/>
                <w:sz w:val="18"/>
                <w:szCs w:val="18"/>
              </w:rPr>
              <w:t>r)</w:t>
            </w:r>
          </w:p>
        </w:tc>
        <w:tc>
          <w:tcPr>
            <w:tcW w:w="2207" w:type="dxa"/>
          </w:tcPr>
          <w:p w14:paraId="208DB9DB" w14:textId="7926B3C1" w:rsidR="006C5018" w:rsidRDefault="006C5018" w:rsidP="006C5018">
            <w:pPr>
              <w:rPr>
                <w:sz w:val="18"/>
                <w:szCs w:val="18"/>
              </w:rPr>
            </w:pPr>
            <w:r w:rsidRPr="006C5018">
              <w:rPr>
                <w:sz w:val="18"/>
                <w:szCs w:val="18"/>
              </w:rPr>
              <w:t>Anormalidades del</w:t>
            </w:r>
            <w:r>
              <w:rPr>
                <w:sz w:val="18"/>
                <w:szCs w:val="18"/>
              </w:rPr>
              <w:t xml:space="preserve"> </w:t>
            </w:r>
            <w:r w:rsidRPr="006C5018">
              <w:rPr>
                <w:sz w:val="18"/>
                <w:szCs w:val="18"/>
              </w:rPr>
              <w:t>Electrocardiograma</w:t>
            </w:r>
            <w:r>
              <w:rPr>
                <w:sz w:val="18"/>
                <w:szCs w:val="18"/>
              </w:rPr>
              <w:t xml:space="preserve"> </w:t>
            </w:r>
            <w:r w:rsidRPr="006C5018">
              <w:rPr>
                <w:sz w:val="18"/>
                <w:szCs w:val="18"/>
              </w:rPr>
              <w:t>con prolongación del</w:t>
            </w:r>
            <w:r>
              <w:rPr>
                <w:sz w:val="18"/>
                <w:szCs w:val="18"/>
              </w:rPr>
              <w:t xml:space="preserve"> </w:t>
            </w:r>
            <w:r w:rsidRPr="006C5018">
              <w:rPr>
                <w:sz w:val="18"/>
                <w:szCs w:val="18"/>
              </w:rPr>
              <w:t>intervalo PR, ictericia</w:t>
            </w:r>
            <w:r>
              <w:rPr>
                <w:sz w:val="18"/>
                <w:szCs w:val="18"/>
              </w:rPr>
              <w:t xml:space="preserve"> </w:t>
            </w:r>
            <w:r w:rsidRPr="006C5018">
              <w:rPr>
                <w:sz w:val="18"/>
                <w:szCs w:val="18"/>
              </w:rPr>
              <w:t xml:space="preserve">por </w:t>
            </w:r>
            <w:proofErr w:type="spellStart"/>
            <w:r w:rsidRPr="006C5018">
              <w:rPr>
                <w:sz w:val="18"/>
                <w:szCs w:val="18"/>
              </w:rPr>
              <w:t>hiper-bilirrubinemia</w:t>
            </w:r>
            <w:proofErr w:type="spellEnd"/>
            <w:r>
              <w:rPr>
                <w:sz w:val="18"/>
                <w:szCs w:val="18"/>
              </w:rPr>
              <w:t xml:space="preserve"> </w:t>
            </w:r>
            <w:r w:rsidRPr="006C5018">
              <w:rPr>
                <w:sz w:val="18"/>
                <w:szCs w:val="18"/>
              </w:rPr>
              <w:t>indirecta.</w:t>
            </w:r>
          </w:p>
        </w:tc>
        <w:tc>
          <w:tcPr>
            <w:tcW w:w="2207" w:type="dxa"/>
          </w:tcPr>
          <w:p w14:paraId="781FB888" w14:textId="317F75E3" w:rsidR="006C5018" w:rsidRDefault="006C5018" w:rsidP="006C5018">
            <w:pPr>
              <w:rPr>
                <w:sz w:val="18"/>
                <w:szCs w:val="18"/>
              </w:rPr>
            </w:pPr>
            <w:r w:rsidRPr="006C5018">
              <w:rPr>
                <w:sz w:val="18"/>
                <w:szCs w:val="18"/>
              </w:rPr>
              <w:t>Enfermedad preexistente</w:t>
            </w:r>
            <w:r>
              <w:rPr>
                <w:sz w:val="18"/>
                <w:szCs w:val="18"/>
              </w:rPr>
              <w:t xml:space="preserve"> </w:t>
            </w:r>
            <w:r w:rsidRPr="006C5018">
              <w:rPr>
                <w:sz w:val="18"/>
                <w:szCs w:val="18"/>
              </w:rPr>
              <w:t>de la conducción</w:t>
            </w:r>
            <w:r>
              <w:rPr>
                <w:sz w:val="18"/>
                <w:szCs w:val="18"/>
              </w:rPr>
              <w:t xml:space="preserve"> </w:t>
            </w:r>
            <w:r w:rsidRPr="006C5018">
              <w:rPr>
                <w:sz w:val="18"/>
                <w:szCs w:val="18"/>
              </w:rPr>
              <w:t>cardiaca. Uso concomitante de otros</w:t>
            </w:r>
            <w:r>
              <w:rPr>
                <w:sz w:val="18"/>
                <w:szCs w:val="18"/>
              </w:rPr>
              <w:t xml:space="preserve"> </w:t>
            </w:r>
            <w:r w:rsidRPr="006C5018">
              <w:rPr>
                <w:sz w:val="18"/>
                <w:szCs w:val="18"/>
              </w:rPr>
              <w:t>medicamentos que</w:t>
            </w:r>
            <w:r>
              <w:rPr>
                <w:sz w:val="18"/>
                <w:szCs w:val="18"/>
              </w:rPr>
              <w:t xml:space="preserve"> </w:t>
            </w:r>
            <w:r w:rsidRPr="006C5018">
              <w:rPr>
                <w:sz w:val="18"/>
                <w:szCs w:val="18"/>
              </w:rPr>
              <w:t>prolonguen el intervalo</w:t>
            </w:r>
            <w:r>
              <w:rPr>
                <w:sz w:val="18"/>
                <w:szCs w:val="18"/>
              </w:rPr>
              <w:t xml:space="preserve"> </w:t>
            </w:r>
            <w:r w:rsidRPr="006C5018">
              <w:rPr>
                <w:sz w:val="18"/>
                <w:szCs w:val="18"/>
              </w:rPr>
              <w:t>PR. Hepatopatía preexistente como</w:t>
            </w:r>
            <w:r>
              <w:rPr>
                <w:sz w:val="18"/>
                <w:szCs w:val="18"/>
              </w:rPr>
              <w:t xml:space="preserve"> </w:t>
            </w:r>
            <w:r w:rsidRPr="006C5018">
              <w:rPr>
                <w:sz w:val="18"/>
                <w:szCs w:val="18"/>
              </w:rPr>
              <w:t>Hepatitis B o C. Uso concomitante de</w:t>
            </w:r>
            <w:r>
              <w:rPr>
                <w:sz w:val="18"/>
                <w:szCs w:val="18"/>
              </w:rPr>
              <w:t xml:space="preserve"> </w:t>
            </w:r>
            <w:r w:rsidRPr="006C5018">
              <w:rPr>
                <w:sz w:val="18"/>
                <w:szCs w:val="18"/>
              </w:rPr>
              <w:t>medicamentos</w:t>
            </w:r>
            <w:r>
              <w:rPr>
                <w:sz w:val="18"/>
                <w:szCs w:val="18"/>
              </w:rPr>
              <w:t xml:space="preserve"> </w:t>
            </w:r>
            <w:r w:rsidRPr="006C5018">
              <w:rPr>
                <w:sz w:val="18"/>
                <w:szCs w:val="18"/>
              </w:rPr>
              <w:t>hepatotóxicos.</w:t>
            </w:r>
          </w:p>
        </w:tc>
        <w:tc>
          <w:tcPr>
            <w:tcW w:w="2207" w:type="dxa"/>
          </w:tcPr>
          <w:p w14:paraId="04A72A10" w14:textId="77777777" w:rsidR="006C5018" w:rsidRPr="006C5018" w:rsidRDefault="006C5018" w:rsidP="006C5018">
            <w:pPr>
              <w:rPr>
                <w:sz w:val="18"/>
                <w:szCs w:val="18"/>
              </w:rPr>
            </w:pPr>
            <w:r w:rsidRPr="006C5018">
              <w:rPr>
                <w:sz w:val="18"/>
                <w:szCs w:val="18"/>
              </w:rPr>
              <w:t xml:space="preserve">Considerar </w:t>
            </w:r>
            <w:proofErr w:type="spellStart"/>
            <w:r w:rsidRPr="006C5018">
              <w:rPr>
                <w:sz w:val="18"/>
                <w:szCs w:val="18"/>
              </w:rPr>
              <w:t>Darunavir</w:t>
            </w:r>
            <w:proofErr w:type="spellEnd"/>
          </w:p>
          <w:p w14:paraId="1C0560B0" w14:textId="77777777" w:rsidR="006C5018" w:rsidRPr="006C5018" w:rsidRDefault="006C5018" w:rsidP="006C5018">
            <w:pPr>
              <w:rPr>
                <w:sz w:val="18"/>
                <w:szCs w:val="18"/>
              </w:rPr>
            </w:pPr>
            <w:r w:rsidRPr="006C5018">
              <w:rPr>
                <w:sz w:val="18"/>
                <w:szCs w:val="18"/>
              </w:rPr>
              <w:t>(DRV / r) o Lopinavir/r</w:t>
            </w:r>
          </w:p>
          <w:p w14:paraId="73F73F86" w14:textId="155AEE3F" w:rsidR="006C5018" w:rsidRDefault="006C5018" w:rsidP="006C5018">
            <w:pPr>
              <w:rPr>
                <w:sz w:val="18"/>
                <w:szCs w:val="18"/>
              </w:rPr>
            </w:pPr>
            <w:r w:rsidRPr="006C5018">
              <w:rPr>
                <w:sz w:val="18"/>
                <w:szCs w:val="18"/>
              </w:rPr>
              <w:t>(LPV/r) o cambio de clase.</w:t>
            </w:r>
          </w:p>
        </w:tc>
      </w:tr>
      <w:tr w:rsidR="006C5018" w14:paraId="203CABD5" w14:textId="77777777" w:rsidTr="00451BBE">
        <w:tc>
          <w:tcPr>
            <w:tcW w:w="2207" w:type="dxa"/>
            <w:vMerge/>
            <w:shd w:val="clear" w:color="auto" w:fill="AEAAAA" w:themeFill="background2" w:themeFillShade="BF"/>
          </w:tcPr>
          <w:p w14:paraId="779D6189" w14:textId="77777777" w:rsidR="006C5018" w:rsidRDefault="006C5018" w:rsidP="00C61E51">
            <w:pPr>
              <w:rPr>
                <w:sz w:val="18"/>
                <w:szCs w:val="18"/>
              </w:rPr>
            </w:pPr>
          </w:p>
        </w:tc>
        <w:tc>
          <w:tcPr>
            <w:tcW w:w="2207" w:type="dxa"/>
          </w:tcPr>
          <w:p w14:paraId="4C7A6198" w14:textId="77777777" w:rsidR="006C5018" w:rsidRPr="006C5018" w:rsidRDefault="006C5018" w:rsidP="006C5018">
            <w:pPr>
              <w:rPr>
                <w:sz w:val="18"/>
                <w:szCs w:val="18"/>
              </w:rPr>
            </w:pPr>
            <w:r w:rsidRPr="006C5018">
              <w:rPr>
                <w:sz w:val="18"/>
                <w:szCs w:val="18"/>
              </w:rPr>
              <w:t>Nefrolitiasis o</w:t>
            </w:r>
          </w:p>
          <w:p w14:paraId="6BB3AF64" w14:textId="0DFED5F8" w:rsidR="006C5018" w:rsidRDefault="006C5018" w:rsidP="006C5018">
            <w:pPr>
              <w:rPr>
                <w:sz w:val="18"/>
                <w:szCs w:val="18"/>
              </w:rPr>
            </w:pPr>
            <w:r w:rsidRPr="006C5018">
              <w:rPr>
                <w:sz w:val="18"/>
                <w:szCs w:val="18"/>
              </w:rPr>
              <w:t>colelitiasis</w:t>
            </w:r>
          </w:p>
        </w:tc>
        <w:tc>
          <w:tcPr>
            <w:tcW w:w="2207" w:type="dxa"/>
          </w:tcPr>
          <w:p w14:paraId="675C7B73" w14:textId="4A055937" w:rsidR="006C5018" w:rsidRDefault="006C5018" w:rsidP="00C61E51">
            <w:pPr>
              <w:rPr>
                <w:sz w:val="18"/>
                <w:szCs w:val="18"/>
              </w:rPr>
            </w:pPr>
            <w:r w:rsidRPr="006C5018">
              <w:rPr>
                <w:sz w:val="18"/>
                <w:szCs w:val="18"/>
              </w:rPr>
              <w:t>Antecedentes de nefrolitiasis o colelitiasis</w:t>
            </w:r>
          </w:p>
        </w:tc>
        <w:tc>
          <w:tcPr>
            <w:tcW w:w="2207" w:type="dxa"/>
          </w:tcPr>
          <w:p w14:paraId="5EFB6452" w14:textId="77777777" w:rsidR="006C5018" w:rsidRPr="006C5018" w:rsidRDefault="006C5018" w:rsidP="006C5018">
            <w:pPr>
              <w:rPr>
                <w:sz w:val="18"/>
                <w:szCs w:val="18"/>
              </w:rPr>
            </w:pPr>
            <w:r w:rsidRPr="006C5018">
              <w:rPr>
                <w:sz w:val="18"/>
                <w:szCs w:val="18"/>
              </w:rPr>
              <w:t>Hidratación acuciosa.</w:t>
            </w:r>
          </w:p>
          <w:p w14:paraId="6D447EE5" w14:textId="77777777" w:rsidR="006C5018" w:rsidRPr="006C5018" w:rsidRDefault="006C5018" w:rsidP="006C5018">
            <w:pPr>
              <w:rPr>
                <w:sz w:val="18"/>
                <w:szCs w:val="18"/>
              </w:rPr>
            </w:pPr>
            <w:r w:rsidRPr="006C5018">
              <w:rPr>
                <w:sz w:val="18"/>
                <w:szCs w:val="18"/>
              </w:rPr>
              <w:t xml:space="preserve">Considerar </w:t>
            </w:r>
            <w:proofErr w:type="spellStart"/>
            <w:r w:rsidRPr="006C5018">
              <w:rPr>
                <w:sz w:val="18"/>
                <w:szCs w:val="18"/>
              </w:rPr>
              <w:t>Darunavir</w:t>
            </w:r>
            <w:proofErr w:type="spellEnd"/>
          </w:p>
          <w:p w14:paraId="77C5009D" w14:textId="77777777" w:rsidR="006C5018" w:rsidRPr="006C5018" w:rsidRDefault="006C5018" w:rsidP="006C5018">
            <w:pPr>
              <w:rPr>
                <w:sz w:val="18"/>
                <w:szCs w:val="18"/>
              </w:rPr>
            </w:pPr>
            <w:r w:rsidRPr="006C5018">
              <w:rPr>
                <w:sz w:val="18"/>
                <w:szCs w:val="18"/>
              </w:rPr>
              <w:t>(DRV / r) o Lopinavir/r</w:t>
            </w:r>
          </w:p>
          <w:p w14:paraId="61F8C8D0" w14:textId="5BB576C0" w:rsidR="006C5018" w:rsidRDefault="006C5018" w:rsidP="006C5018">
            <w:pPr>
              <w:rPr>
                <w:sz w:val="18"/>
                <w:szCs w:val="18"/>
              </w:rPr>
            </w:pPr>
            <w:r w:rsidRPr="006C5018">
              <w:rPr>
                <w:sz w:val="18"/>
                <w:szCs w:val="18"/>
              </w:rPr>
              <w:t>(LPV/r) o cambio de clase.</w:t>
            </w:r>
          </w:p>
        </w:tc>
      </w:tr>
      <w:tr w:rsidR="003834C5" w14:paraId="577EA453" w14:textId="77777777" w:rsidTr="00451BBE">
        <w:tc>
          <w:tcPr>
            <w:tcW w:w="2207" w:type="dxa"/>
          </w:tcPr>
          <w:p w14:paraId="2FA2E239" w14:textId="77777777" w:rsidR="00001F21" w:rsidRDefault="00001F21" w:rsidP="00001F21">
            <w:pPr>
              <w:autoSpaceDE w:val="0"/>
              <w:autoSpaceDN w:val="0"/>
              <w:adjustRightInd w:val="0"/>
              <w:rPr>
                <w:rFonts w:ascii="Arial-BoldMT" w:hAnsi="Arial-BoldMT" w:cs="Arial-BoldMT"/>
                <w:b/>
                <w:bCs/>
                <w:sz w:val="18"/>
                <w:szCs w:val="18"/>
              </w:rPr>
            </w:pPr>
            <w:proofErr w:type="spellStart"/>
            <w:r>
              <w:rPr>
                <w:rFonts w:ascii="Arial-BoldMT" w:hAnsi="Arial-BoldMT" w:cs="Arial-BoldMT"/>
                <w:b/>
                <w:bCs/>
                <w:sz w:val="18"/>
                <w:szCs w:val="18"/>
              </w:rPr>
              <w:t>Darunavir</w:t>
            </w:r>
            <w:proofErr w:type="spellEnd"/>
            <w:r>
              <w:rPr>
                <w:rFonts w:ascii="Arial-BoldMT" w:hAnsi="Arial-BoldMT" w:cs="Arial-BoldMT"/>
                <w:b/>
                <w:bCs/>
                <w:sz w:val="18"/>
                <w:szCs w:val="18"/>
              </w:rPr>
              <w:t xml:space="preserve"> más</w:t>
            </w:r>
          </w:p>
          <w:p w14:paraId="5298BCCE" w14:textId="16CD6C31" w:rsidR="003834C5" w:rsidRDefault="00001F21" w:rsidP="00001F21">
            <w:pPr>
              <w:rPr>
                <w:sz w:val="18"/>
                <w:szCs w:val="18"/>
              </w:rPr>
            </w:pPr>
            <w:r>
              <w:rPr>
                <w:rFonts w:ascii="Arial-BoldMT" w:hAnsi="Arial-BoldMT" w:cs="Arial-BoldMT"/>
                <w:b/>
                <w:bCs/>
                <w:sz w:val="18"/>
                <w:szCs w:val="18"/>
              </w:rPr>
              <w:t>ritonavir (DRV/r)</w:t>
            </w:r>
          </w:p>
        </w:tc>
        <w:tc>
          <w:tcPr>
            <w:tcW w:w="2207" w:type="dxa"/>
          </w:tcPr>
          <w:p w14:paraId="48900E0A" w14:textId="53581755" w:rsidR="003834C5" w:rsidRDefault="00001F21" w:rsidP="00C61E51">
            <w:pPr>
              <w:rPr>
                <w:sz w:val="18"/>
                <w:szCs w:val="18"/>
              </w:rPr>
            </w:pPr>
            <w:r w:rsidRPr="00001F21">
              <w:rPr>
                <w:sz w:val="18"/>
                <w:szCs w:val="18"/>
              </w:rPr>
              <w:t>Brote cutáneo</w:t>
            </w:r>
          </w:p>
        </w:tc>
        <w:tc>
          <w:tcPr>
            <w:tcW w:w="2207" w:type="dxa"/>
          </w:tcPr>
          <w:p w14:paraId="5977825A" w14:textId="10FAB802" w:rsidR="003834C5" w:rsidRDefault="00001F21" w:rsidP="00C61E51">
            <w:pPr>
              <w:rPr>
                <w:sz w:val="18"/>
                <w:szCs w:val="18"/>
              </w:rPr>
            </w:pPr>
            <w:r w:rsidRPr="00001F21">
              <w:rPr>
                <w:sz w:val="18"/>
                <w:szCs w:val="18"/>
              </w:rPr>
              <w:t>Alergia a sulfonamidas</w:t>
            </w:r>
          </w:p>
        </w:tc>
        <w:tc>
          <w:tcPr>
            <w:tcW w:w="2207" w:type="dxa"/>
          </w:tcPr>
          <w:p w14:paraId="39B68B93" w14:textId="77777777" w:rsidR="00001F21" w:rsidRPr="00001F21" w:rsidRDefault="00001F21" w:rsidP="00001F21">
            <w:pPr>
              <w:rPr>
                <w:sz w:val="18"/>
                <w:szCs w:val="18"/>
              </w:rPr>
            </w:pPr>
            <w:r w:rsidRPr="00001F21">
              <w:rPr>
                <w:sz w:val="18"/>
                <w:szCs w:val="18"/>
              </w:rPr>
              <w:t>Considerar cambio a otro</w:t>
            </w:r>
          </w:p>
          <w:p w14:paraId="2B1558C0" w14:textId="77777777" w:rsidR="00001F21" w:rsidRPr="00001F21" w:rsidRDefault="00001F21" w:rsidP="00001F21">
            <w:pPr>
              <w:rPr>
                <w:sz w:val="18"/>
                <w:szCs w:val="18"/>
              </w:rPr>
            </w:pPr>
            <w:r w:rsidRPr="00001F21">
              <w:rPr>
                <w:sz w:val="18"/>
                <w:szCs w:val="18"/>
              </w:rPr>
              <w:t>inhibidor de la proteasa</w:t>
            </w:r>
          </w:p>
          <w:p w14:paraId="58D0A60A" w14:textId="6CFA8920" w:rsidR="003834C5" w:rsidRDefault="00001F21" w:rsidP="00001F21">
            <w:pPr>
              <w:rPr>
                <w:sz w:val="18"/>
                <w:szCs w:val="18"/>
              </w:rPr>
            </w:pPr>
            <w:r w:rsidRPr="00001F21">
              <w:rPr>
                <w:sz w:val="18"/>
                <w:szCs w:val="18"/>
              </w:rPr>
              <w:t>excepto FPV/r.</w:t>
            </w:r>
          </w:p>
        </w:tc>
      </w:tr>
      <w:tr w:rsidR="003834C5" w14:paraId="0D10E1F5" w14:textId="77777777" w:rsidTr="00451BBE">
        <w:tc>
          <w:tcPr>
            <w:tcW w:w="2207" w:type="dxa"/>
          </w:tcPr>
          <w:p w14:paraId="414BDDA6" w14:textId="77777777" w:rsidR="00001F21" w:rsidRDefault="00001F21" w:rsidP="00001F21">
            <w:pPr>
              <w:autoSpaceDE w:val="0"/>
              <w:autoSpaceDN w:val="0"/>
              <w:adjustRightInd w:val="0"/>
              <w:rPr>
                <w:rFonts w:ascii="Arial-BoldMT" w:hAnsi="Arial-BoldMT" w:cs="Arial-BoldMT"/>
                <w:b/>
                <w:bCs/>
                <w:sz w:val="18"/>
                <w:szCs w:val="18"/>
              </w:rPr>
            </w:pPr>
            <w:proofErr w:type="spellStart"/>
            <w:r>
              <w:rPr>
                <w:rFonts w:ascii="Arial-BoldMT" w:hAnsi="Arial-BoldMT" w:cs="Arial-BoldMT"/>
                <w:b/>
                <w:bCs/>
                <w:sz w:val="18"/>
                <w:szCs w:val="18"/>
              </w:rPr>
              <w:t>Dolutegravir</w:t>
            </w:r>
            <w:proofErr w:type="spellEnd"/>
          </w:p>
          <w:p w14:paraId="16830F0F" w14:textId="77777777" w:rsidR="00001F21" w:rsidRDefault="00001F21" w:rsidP="00001F21">
            <w:pPr>
              <w:autoSpaceDE w:val="0"/>
              <w:autoSpaceDN w:val="0"/>
              <w:adjustRightInd w:val="0"/>
              <w:rPr>
                <w:rFonts w:ascii="Arial-BoldMT" w:hAnsi="Arial-BoldMT" w:cs="Arial-BoldMT"/>
                <w:b/>
                <w:bCs/>
                <w:sz w:val="18"/>
                <w:szCs w:val="18"/>
              </w:rPr>
            </w:pPr>
            <w:r>
              <w:rPr>
                <w:rFonts w:ascii="Arial-BoldMT" w:hAnsi="Arial-BoldMT" w:cs="Arial-BoldMT"/>
                <w:b/>
                <w:bCs/>
                <w:sz w:val="18"/>
                <w:szCs w:val="18"/>
              </w:rPr>
              <w:t>más ritonavir</w:t>
            </w:r>
          </w:p>
          <w:p w14:paraId="3072E410" w14:textId="3CE57F8D" w:rsidR="003834C5" w:rsidRDefault="00001F21" w:rsidP="00001F21">
            <w:pPr>
              <w:rPr>
                <w:sz w:val="18"/>
                <w:szCs w:val="18"/>
              </w:rPr>
            </w:pPr>
            <w:r>
              <w:rPr>
                <w:rFonts w:ascii="Arial-BoldMT" w:hAnsi="Arial-BoldMT" w:cs="Arial-BoldMT"/>
                <w:b/>
                <w:bCs/>
                <w:sz w:val="18"/>
                <w:szCs w:val="18"/>
              </w:rPr>
              <w:t>(DTV/r)</w:t>
            </w:r>
          </w:p>
        </w:tc>
        <w:tc>
          <w:tcPr>
            <w:tcW w:w="2207" w:type="dxa"/>
          </w:tcPr>
          <w:p w14:paraId="62D63FC3" w14:textId="77777777" w:rsidR="00001F21" w:rsidRPr="00001F21" w:rsidRDefault="00001F21" w:rsidP="00001F21">
            <w:pPr>
              <w:rPr>
                <w:sz w:val="18"/>
                <w:szCs w:val="18"/>
              </w:rPr>
            </w:pPr>
            <w:r w:rsidRPr="00001F21">
              <w:rPr>
                <w:sz w:val="18"/>
                <w:szCs w:val="18"/>
              </w:rPr>
              <w:t>Reacción alérgica y</w:t>
            </w:r>
          </w:p>
          <w:p w14:paraId="42A40078" w14:textId="50591586" w:rsidR="003834C5" w:rsidRDefault="00001F21" w:rsidP="00001F21">
            <w:pPr>
              <w:rPr>
                <w:sz w:val="18"/>
                <w:szCs w:val="18"/>
              </w:rPr>
            </w:pPr>
            <w:r w:rsidRPr="00001F21">
              <w:rPr>
                <w:sz w:val="18"/>
                <w:szCs w:val="18"/>
              </w:rPr>
              <w:t>hepatotoxicidad.</w:t>
            </w:r>
          </w:p>
        </w:tc>
        <w:tc>
          <w:tcPr>
            <w:tcW w:w="2207" w:type="dxa"/>
          </w:tcPr>
          <w:p w14:paraId="7CFC1A76" w14:textId="77777777" w:rsidR="00001F21" w:rsidRPr="00001F21" w:rsidRDefault="00001F21" w:rsidP="00001F21">
            <w:pPr>
              <w:rPr>
                <w:sz w:val="18"/>
                <w:szCs w:val="18"/>
              </w:rPr>
            </w:pPr>
            <w:r w:rsidRPr="00001F21">
              <w:rPr>
                <w:sz w:val="18"/>
                <w:szCs w:val="18"/>
              </w:rPr>
              <w:t xml:space="preserve">Hepatopatía </w:t>
            </w:r>
            <w:proofErr w:type="spellStart"/>
            <w:r w:rsidRPr="00001F21">
              <w:rPr>
                <w:sz w:val="18"/>
                <w:szCs w:val="18"/>
              </w:rPr>
              <w:t>pre-existente</w:t>
            </w:r>
            <w:proofErr w:type="spellEnd"/>
            <w:r w:rsidRPr="00001F21">
              <w:rPr>
                <w:sz w:val="18"/>
                <w:szCs w:val="18"/>
              </w:rPr>
              <w:t xml:space="preserve"> como Hepatitis B</w:t>
            </w:r>
          </w:p>
          <w:p w14:paraId="6E902BC8" w14:textId="77777777" w:rsidR="00001F21" w:rsidRPr="00001F21" w:rsidRDefault="00001F21" w:rsidP="00001F21">
            <w:pPr>
              <w:rPr>
                <w:sz w:val="18"/>
                <w:szCs w:val="18"/>
              </w:rPr>
            </w:pPr>
            <w:r w:rsidRPr="00001F21">
              <w:rPr>
                <w:sz w:val="18"/>
                <w:szCs w:val="18"/>
              </w:rPr>
              <w:t>o C. Uso concomitante de medicamentos</w:t>
            </w:r>
          </w:p>
          <w:p w14:paraId="28B2E073" w14:textId="2BEC8EDE" w:rsidR="003834C5" w:rsidRDefault="00001F21" w:rsidP="00001F21">
            <w:pPr>
              <w:rPr>
                <w:sz w:val="18"/>
                <w:szCs w:val="18"/>
              </w:rPr>
            </w:pPr>
            <w:r w:rsidRPr="00001F21">
              <w:rPr>
                <w:sz w:val="18"/>
                <w:szCs w:val="18"/>
              </w:rPr>
              <w:t>hepatotóxicos.</w:t>
            </w:r>
          </w:p>
        </w:tc>
        <w:tc>
          <w:tcPr>
            <w:tcW w:w="2207" w:type="dxa"/>
          </w:tcPr>
          <w:p w14:paraId="44784E4F" w14:textId="77777777" w:rsidR="00001F21" w:rsidRPr="00001F21" w:rsidRDefault="00001F21" w:rsidP="00001F21">
            <w:pPr>
              <w:rPr>
                <w:sz w:val="18"/>
                <w:szCs w:val="18"/>
              </w:rPr>
            </w:pPr>
            <w:r w:rsidRPr="00001F21">
              <w:rPr>
                <w:sz w:val="18"/>
                <w:szCs w:val="18"/>
              </w:rPr>
              <w:t xml:space="preserve">Considerar </w:t>
            </w:r>
            <w:proofErr w:type="spellStart"/>
            <w:r w:rsidRPr="00001F21">
              <w:rPr>
                <w:sz w:val="18"/>
                <w:szCs w:val="18"/>
              </w:rPr>
              <w:t>Darunavir</w:t>
            </w:r>
            <w:proofErr w:type="spellEnd"/>
          </w:p>
          <w:p w14:paraId="5660F6F4" w14:textId="77777777" w:rsidR="00001F21" w:rsidRPr="00001F21" w:rsidRDefault="00001F21" w:rsidP="00001F21">
            <w:pPr>
              <w:rPr>
                <w:sz w:val="18"/>
                <w:szCs w:val="18"/>
              </w:rPr>
            </w:pPr>
            <w:r w:rsidRPr="00001F21">
              <w:rPr>
                <w:sz w:val="18"/>
                <w:szCs w:val="18"/>
              </w:rPr>
              <w:t>(DRV / r) o Lopinavir/r</w:t>
            </w:r>
          </w:p>
          <w:p w14:paraId="715961FC" w14:textId="60EEC8B4" w:rsidR="003834C5" w:rsidRDefault="00001F21" w:rsidP="00001F21">
            <w:pPr>
              <w:rPr>
                <w:sz w:val="18"/>
                <w:szCs w:val="18"/>
              </w:rPr>
            </w:pPr>
            <w:r w:rsidRPr="00001F21">
              <w:rPr>
                <w:sz w:val="18"/>
                <w:szCs w:val="18"/>
              </w:rPr>
              <w:t>(LPV/r) o cambio de clase.</w:t>
            </w:r>
          </w:p>
        </w:tc>
      </w:tr>
      <w:tr w:rsidR="003834C5" w14:paraId="78F93C34" w14:textId="77777777" w:rsidTr="00451BBE">
        <w:tc>
          <w:tcPr>
            <w:tcW w:w="2207" w:type="dxa"/>
          </w:tcPr>
          <w:p w14:paraId="52BD2E9C" w14:textId="77777777" w:rsidR="00001F21" w:rsidRDefault="00001F21" w:rsidP="00001F21">
            <w:pPr>
              <w:autoSpaceDE w:val="0"/>
              <w:autoSpaceDN w:val="0"/>
              <w:adjustRightInd w:val="0"/>
              <w:rPr>
                <w:rFonts w:ascii="Arial-BoldMT" w:hAnsi="Arial-BoldMT" w:cs="Arial-BoldMT"/>
                <w:b/>
                <w:bCs/>
                <w:sz w:val="18"/>
                <w:szCs w:val="18"/>
              </w:rPr>
            </w:pPr>
            <w:proofErr w:type="spellStart"/>
            <w:r>
              <w:rPr>
                <w:rFonts w:ascii="Arial-BoldMT" w:hAnsi="Arial-BoldMT" w:cs="Arial-BoldMT"/>
                <w:b/>
                <w:bCs/>
                <w:sz w:val="18"/>
                <w:szCs w:val="18"/>
              </w:rPr>
              <w:t>Raltegravir</w:t>
            </w:r>
            <w:proofErr w:type="spellEnd"/>
            <w:r>
              <w:rPr>
                <w:rFonts w:ascii="Arial-BoldMT" w:hAnsi="Arial-BoldMT" w:cs="Arial-BoldMT"/>
                <w:b/>
                <w:bCs/>
                <w:sz w:val="18"/>
                <w:szCs w:val="18"/>
              </w:rPr>
              <w:t xml:space="preserve"> más</w:t>
            </w:r>
          </w:p>
          <w:p w14:paraId="5BB92C93" w14:textId="3EB1FE39" w:rsidR="003834C5" w:rsidRDefault="00001F21" w:rsidP="00001F21">
            <w:pPr>
              <w:rPr>
                <w:sz w:val="18"/>
                <w:szCs w:val="18"/>
              </w:rPr>
            </w:pPr>
            <w:r>
              <w:rPr>
                <w:rFonts w:ascii="Arial-BoldMT" w:hAnsi="Arial-BoldMT" w:cs="Arial-BoldMT"/>
                <w:b/>
                <w:bCs/>
                <w:sz w:val="18"/>
                <w:szCs w:val="18"/>
              </w:rPr>
              <w:t>ritonavir</w:t>
            </w:r>
          </w:p>
        </w:tc>
        <w:tc>
          <w:tcPr>
            <w:tcW w:w="2207" w:type="dxa"/>
          </w:tcPr>
          <w:p w14:paraId="1A357DCE" w14:textId="77777777" w:rsidR="00001F21" w:rsidRPr="00001F21" w:rsidRDefault="00001F21" w:rsidP="00001F21">
            <w:pPr>
              <w:rPr>
                <w:sz w:val="18"/>
                <w:szCs w:val="18"/>
              </w:rPr>
            </w:pPr>
            <w:r w:rsidRPr="00001F21">
              <w:rPr>
                <w:sz w:val="18"/>
                <w:szCs w:val="18"/>
              </w:rPr>
              <w:t>Rabdomiólisis,</w:t>
            </w:r>
          </w:p>
          <w:p w14:paraId="69EFE28F" w14:textId="11280B20" w:rsidR="003834C5" w:rsidRDefault="00001F21" w:rsidP="00001F21">
            <w:pPr>
              <w:rPr>
                <w:sz w:val="18"/>
                <w:szCs w:val="18"/>
              </w:rPr>
            </w:pPr>
            <w:r w:rsidRPr="00001F21">
              <w:rPr>
                <w:sz w:val="18"/>
                <w:szCs w:val="18"/>
              </w:rPr>
              <w:t>miopatía, mialgias.</w:t>
            </w:r>
          </w:p>
        </w:tc>
        <w:tc>
          <w:tcPr>
            <w:tcW w:w="2207" w:type="dxa"/>
          </w:tcPr>
          <w:p w14:paraId="2E6B7BFD" w14:textId="77777777" w:rsidR="00001F21" w:rsidRPr="00001F21" w:rsidRDefault="00001F21" w:rsidP="00001F21">
            <w:pPr>
              <w:rPr>
                <w:sz w:val="18"/>
                <w:szCs w:val="18"/>
              </w:rPr>
            </w:pPr>
            <w:r w:rsidRPr="00001F21">
              <w:rPr>
                <w:sz w:val="18"/>
                <w:szCs w:val="18"/>
              </w:rPr>
              <w:t>Uso concomitante de medicamentos que</w:t>
            </w:r>
          </w:p>
          <w:p w14:paraId="32D37C04" w14:textId="6C8077B1" w:rsidR="003834C5" w:rsidRDefault="00001F21" w:rsidP="00001F21">
            <w:pPr>
              <w:rPr>
                <w:sz w:val="18"/>
                <w:szCs w:val="18"/>
              </w:rPr>
            </w:pPr>
            <w:r w:rsidRPr="00001F21">
              <w:rPr>
                <w:sz w:val="18"/>
                <w:szCs w:val="18"/>
              </w:rPr>
              <w:t>causen rabdomiólisis</w:t>
            </w:r>
          </w:p>
        </w:tc>
        <w:tc>
          <w:tcPr>
            <w:tcW w:w="2207" w:type="dxa"/>
          </w:tcPr>
          <w:p w14:paraId="669A03A8" w14:textId="77777777" w:rsidR="00001F21" w:rsidRPr="00001F21" w:rsidRDefault="00001F21" w:rsidP="00001F21">
            <w:pPr>
              <w:rPr>
                <w:sz w:val="18"/>
                <w:szCs w:val="18"/>
              </w:rPr>
            </w:pPr>
            <w:r w:rsidRPr="00001F21">
              <w:rPr>
                <w:sz w:val="18"/>
                <w:szCs w:val="18"/>
              </w:rPr>
              <w:t>Considerar cambio a otras</w:t>
            </w:r>
          </w:p>
          <w:p w14:paraId="3D8B2297" w14:textId="77777777" w:rsidR="00001F21" w:rsidRPr="00001F21" w:rsidRDefault="00001F21" w:rsidP="00001F21">
            <w:pPr>
              <w:rPr>
                <w:sz w:val="18"/>
                <w:szCs w:val="18"/>
              </w:rPr>
            </w:pPr>
            <w:r w:rsidRPr="00001F21">
              <w:rPr>
                <w:sz w:val="18"/>
                <w:szCs w:val="18"/>
              </w:rPr>
              <w:t>clases como IP/r, INNTR o</w:t>
            </w:r>
          </w:p>
          <w:p w14:paraId="764966CA" w14:textId="1DBADD8A" w:rsidR="003834C5" w:rsidRDefault="00001F21" w:rsidP="00001F21">
            <w:pPr>
              <w:rPr>
                <w:sz w:val="18"/>
                <w:szCs w:val="18"/>
              </w:rPr>
            </w:pPr>
            <w:r w:rsidRPr="00001F21">
              <w:rPr>
                <w:sz w:val="18"/>
                <w:szCs w:val="18"/>
              </w:rPr>
              <w:t>MVC</w:t>
            </w:r>
          </w:p>
        </w:tc>
      </w:tr>
      <w:tr w:rsidR="003834C5" w14:paraId="28D01BA3" w14:textId="77777777" w:rsidTr="00451BBE">
        <w:tc>
          <w:tcPr>
            <w:tcW w:w="2207" w:type="dxa"/>
          </w:tcPr>
          <w:p w14:paraId="0C879B98" w14:textId="1BCFC5BC" w:rsidR="003834C5" w:rsidRDefault="00001F21" w:rsidP="00C61E51">
            <w:pPr>
              <w:rPr>
                <w:sz w:val="18"/>
                <w:szCs w:val="18"/>
              </w:rPr>
            </w:pPr>
            <w:r>
              <w:rPr>
                <w:rFonts w:ascii="Arial-BoldMT" w:hAnsi="Arial-BoldMT" w:cs="Arial-BoldMT"/>
                <w:b/>
                <w:bCs/>
                <w:sz w:val="18"/>
                <w:szCs w:val="18"/>
              </w:rPr>
              <w:t>Ritonavir</w:t>
            </w:r>
          </w:p>
        </w:tc>
        <w:tc>
          <w:tcPr>
            <w:tcW w:w="2207" w:type="dxa"/>
          </w:tcPr>
          <w:p w14:paraId="5BC698C3" w14:textId="77777777" w:rsidR="00001F21" w:rsidRPr="00001F21" w:rsidRDefault="00001F21" w:rsidP="00001F21">
            <w:pPr>
              <w:rPr>
                <w:sz w:val="18"/>
                <w:szCs w:val="18"/>
              </w:rPr>
            </w:pPr>
            <w:r w:rsidRPr="00001F21">
              <w:rPr>
                <w:sz w:val="18"/>
                <w:szCs w:val="18"/>
              </w:rPr>
              <w:t>Anormalidades del</w:t>
            </w:r>
          </w:p>
          <w:p w14:paraId="6CDF67F9" w14:textId="77777777" w:rsidR="00001F21" w:rsidRPr="00001F21" w:rsidRDefault="00001F21" w:rsidP="00001F21">
            <w:pPr>
              <w:rPr>
                <w:sz w:val="18"/>
                <w:szCs w:val="18"/>
              </w:rPr>
            </w:pPr>
            <w:r w:rsidRPr="00001F21">
              <w:rPr>
                <w:sz w:val="18"/>
                <w:szCs w:val="18"/>
              </w:rPr>
              <w:t>electrocardiograma</w:t>
            </w:r>
          </w:p>
          <w:p w14:paraId="51A4B451" w14:textId="77777777" w:rsidR="00001F21" w:rsidRPr="00001F21" w:rsidRDefault="00001F21" w:rsidP="00001F21">
            <w:pPr>
              <w:rPr>
                <w:sz w:val="18"/>
                <w:szCs w:val="18"/>
              </w:rPr>
            </w:pPr>
            <w:r w:rsidRPr="00001F21">
              <w:rPr>
                <w:sz w:val="18"/>
                <w:szCs w:val="18"/>
              </w:rPr>
              <w:t>con prolongación del</w:t>
            </w:r>
          </w:p>
          <w:p w14:paraId="36A660D1" w14:textId="77777777" w:rsidR="00001F21" w:rsidRPr="00001F21" w:rsidRDefault="00001F21" w:rsidP="00001F21">
            <w:pPr>
              <w:rPr>
                <w:sz w:val="18"/>
                <w:szCs w:val="18"/>
              </w:rPr>
            </w:pPr>
            <w:r w:rsidRPr="00001F21">
              <w:rPr>
                <w:sz w:val="18"/>
                <w:szCs w:val="18"/>
              </w:rPr>
              <w:t>intervalo PR, ictericia</w:t>
            </w:r>
          </w:p>
          <w:p w14:paraId="27DD0027" w14:textId="77777777" w:rsidR="00001F21" w:rsidRPr="00001F21" w:rsidRDefault="00001F21" w:rsidP="00001F21">
            <w:pPr>
              <w:rPr>
                <w:sz w:val="18"/>
                <w:szCs w:val="18"/>
              </w:rPr>
            </w:pPr>
            <w:r w:rsidRPr="00001F21">
              <w:rPr>
                <w:sz w:val="18"/>
                <w:szCs w:val="18"/>
              </w:rPr>
              <w:t xml:space="preserve">por </w:t>
            </w:r>
            <w:proofErr w:type="spellStart"/>
            <w:r w:rsidRPr="00001F21">
              <w:rPr>
                <w:sz w:val="18"/>
                <w:szCs w:val="18"/>
              </w:rPr>
              <w:t>hiper-bilirrubinemia</w:t>
            </w:r>
            <w:proofErr w:type="spellEnd"/>
          </w:p>
          <w:p w14:paraId="645BA3EB" w14:textId="77777777" w:rsidR="00001F21" w:rsidRPr="00001F21" w:rsidRDefault="00001F21" w:rsidP="00001F21">
            <w:pPr>
              <w:rPr>
                <w:sz w:val="18"/>
                <w:szCs w:val="18"/>
              </w:rPr>
            </w:pPr>
            <w:r w:rsidRPr="00001F21">
              <w:rPr>
                <w:sz w:val="18"/>
                <w:szCs w:val="18"/>
              </w:rPr>
              <w:t>indirecta.</w:t>
            </w:r>
          </w:p>
          <w:p w14:paraId="4968BDB5" w14:textId="2AAC60B7" w:rsidR="003834C5" w:rsidRDefault="00001F21" w:rsidP="00001F21">
            <w:pPr>
              <w:rPr>
                <w:sz w:val="18"/>
                <w:szCs w:val="18"/>
              </w:rPr>
            </w:pPr>
            <w:r w:rsidRPr="00001F21">
              <w:rPr>
                <w:sz w:val="18"/>
                <w:szCs w:val="18"/>
              </w:rPr>
              <w:t>Hepatotoxicidad.</w:t>
            </w:r>
          </w:p>
        </w:tc>
        <w:tc>
          <w:tcPr>
            <w:tcW w:w="2207" w:type="dxa"/>
          </w:tcPr>
          <w:p w14:paraId="3A2E60C3" w14:textId="77777777" w:rsidR="00001F21" w:rsidRPr="00001F21" w:rsidRDefault="00001F21" w:rsidP="00001F21">
            <w:pPr>
              <w:rPr>
                <w:sz w:val="18"/>
                <w:szCs w:val="18"/>
              </w:rPr>
            </w:pPr>
            <w:r w:rsidRPr="00001F21">
              <w:rPr>
                <w:sz w:val="18"/>
                <w:szCs w:val="18"/>
              </w:rPr>
              <w:t>Enfermedad preexistente de la conducción</w:t>
            </w:r>
          </w:p>
          <w:p w14:paraId="2042DA68" w14:textId="77777777" w:rsidR="00001F21" w:rsidRPr="00001F21" w:rsidRDefault="00001F21" w:rsidP="00001F21">
            <w:pPr>
              <w:rPr>
                <w:sz w:val="18"/>
                <w:szCs w:val="18"/>
              </w:rPr>
            </w:pPr>
            <w:r w:rsidRPr="00001F21">
              <w:rPr>
                <w:sz w:val="18"/>
                <w:szCs w:val="18"/>
              </w:rPr>
              <w:t>cardiaca. Uso concomitante de otros</w:t>
            </w:r>
          </w:p>
          <w:p w14:paraId="3FC178C9" w14:textId="77777777" w:rsidR="00001F21" w:rsidRPr="00001F21" w:rsidRDefault="00001F21" w:rsidP="00001F21">
            <w:pPr>
              <w:rPr>
                <w:sz w:val="18"/>
                <w:szCs w:val="18"/>
              </w:rPr>
            </w:pPr>
            <w:r w:rsidRPr="00001F21">
              <w:rPr>
                <w:sz w:val="18"/>
                <w:szCs w:val="18"/>
              </w:rPr>
              <w:t>medicamentos que prolonguen el intervalo</w:t>
            </w:r>
          </w:p>
          <w:p w14:paraId="7C4388EA" w14:textId="77777777" w:rsidR="00001F21" w:rsidRPr="00001F21" w:rsidRDefault="00001F21" w:rsidP="00001F21">
            <w:pPr>
              <w:rPr>
                <w:sz w:val="18"/>
                <w:szCs w:val="18"/>
              </w:rPr>
            </w:pPr>
            <w:r w:rsidRPr="00001F21">
              <w:rPr>
                <w:sz w:val="18"/>
                <w:szCs w:val="18"/>
              </w:rPr>
              <w:t>PR. Hepatopatía preexistente como</w:t>
            </w:r>
          </w:p>
          <w:p w14:paraId="45E8674D" w14:textId="77777777" w:rsidR="00001F21" w:rsidRPr="00001F21" w:rsidRDefault="00001F21" w:rsidP="00001F21">
            <w:pPr>
              <w:rPr>
                <w:sz w:val="18"/>
                <w:szCs w:val="18"/>
              </w:rPr>
            </w:pPr>
            <w:r w:rsidRPr="00001F21">
              <w:rPr>
                <w:sz w:val="18"/>
                <w:szCs w:val="18"/>
              </w:rPr>
              <w:t>Hepatitis B o C. Uso concomitante de</w:t>
            </w:r>
          </w:p>
          <w:p w14:paraId="52429807" w14:textId="7FCFDD32" w:rsidR="003834C5" w:rsidRDefault="00001F21" w:rsidP="00001F21">
            <w:pPr>
              <w:rPr>
                <w:sz w:val="18"/>
                <w:szCs w:val="18"/>
              </w:rPr>
            </w:pPr>
            <w:r w:rsidRPr="00001F21">
              <w:rPr>
                <w:sz w:val="18"/>
                <w:szCs w:val="18"/>
              </w:rPr>
              <w:t>medicamentos hepatotóxicos.</w:t>
            </w:r>
          </w:p>
        </w:tc>
        <w:tc>
          <w:tcPr>
            <w:tcW w:w="2207" w:type="dxa"/>
          </w:tcPr>
          <w:p w14:paraId="13053165" w14:textId="77777777" w:rsidR="00001F21" w:rsidRPr="00001F21" w:rsidRDefault="00001F21" w:rsidP="00001F21">
            <w:pPr>
              <w:rPr>
                <w:sz w:val="18"/>
                <w:szCs w:val="18"/>
              </w:rPr>
            </w:pPr>
            <w:r w:rsidRPr="00001F21">
              <w:rPr>
                <w:sz w:val="18"/>
                <w:szCs w:val="18"/>
              </w:rPr>
              <w:t xml:space="preserve">Considerar </w:t>
            </w:r>
            <w:proofErr w:type="spellStart"/>
            <w:r w:rsidRPr="00001F21">
              <w:rPr>
                <w:sz w:val="18"/>
                <w:szCs w:val="18"/>
              </w:rPr>
              <w:t>Darunavir</w:t>
            </w:r>
            <w:proofErr w:type="spellEnd"/>
          </w:p>
          <w:p w14:paraId="4944A63D" w14:textId="77777777" w:rsidR="00001F21" w:rsidRPr="00001F21" w:rsidRDefault="00001F21" w:rsidP="00001F21">
            <w:pPr>
              <w:rPr>
                <w:sz w:val="18"/>
                <w:szCs w:val="18"/>
              </w:rPr>
            </w:pPr>
            <w:r w:rsidRPr="00001F21">
              <w:rPr>
                <w:sz w:val="18"/>
                <w:szCs w:val="18"/>
              </w:rPr>
              <w:t>(DRV / r) o Lopinavir/r</w:t>
            </w:r>
          </w:p>
          <w:p w14:paraId="5FCF2520" w14:textId="69AA54FD" w:rsidR="003834C5" w:rsidRDefault="00001F21" w:rsidP="00001F21">
            <w:pPr>
              <w:rPr>
                <w:sz w:val="18"/>
                <w:szCs w:val="18"/>
              </w:rPr>
            </w:pPr>
            <w:r w:rsidRPr="00001F21">
              <w:rPr>
                <w:sz w:val="18"/>
                <w:szCs w:val="18"/>
              </w:rPr>
              <w:t>(LPV/r) o cambio de clase.</w:t>
            </w:r>
          </w:p>
        </w:tc>
      </w:tr>
      <w:tr w:rsidR="003834C5" w14:paraId="75F22DB7" w14:textId="77777777" w:rsidTr="00451BBE">
        <w:tc>
          <w:tcPr>
            <w:tcW w:w="2207" w:type="dxa"/>
          </w:tcPr>
          <w:p w14:paraId="52C0FBFA" w14:textId="6BA7DBC0" w:rsidR="003834C5" w:rsidRDefault="00001F21" w:rsidP="00C61E51">
            <w:pPr>
              <w:rPr>
                <w:sz w:val="18"/>
                <w:szCs w:val="18"/>
              </w:rPr>
            </w:pPr>
            <w:proofErr w:type="spellStart"/>
            <w:r>
              <w:rPr>
                <w:rFonts w:ascii="Arial-BoldMT" w:hAnsi="Arial-BoldMT" w:cs="Arial-BoldMT"/>
                <w:b/>
                <w:bCs/>
                <w:sz w:val="18"/>
                <w:szCs w:val="18"/>
              </w:rPr>
              <w:t>Tenofovir</w:t>
            </w:r>
            <w:proofErr w:type="spellEnd"/>
            <w:r>
              <w:rPr>
                <w:rFonts w:ascii="Arial-BoldMT" w:hAnsi="Arial-BoldMT" w:cs="Arial-BoldMT"/>
                <w:b/>
                <w:bCs/>
                <w:sz w:val="18"/>
                <w:szCs w:val="18"/>
              </w:rPr>
              <w:t xml:space="preserve"> (TDF)</w:t>
            </w:r>
          </w:p>
        </w:tc>
        <w:tc>
          <w:tcPr>
            <w:tcW w:w="2207" w:type="dxa"/>
          </w:tcPr>
          <w:p w14:paraId="3852154C" w14:textId="77777777" w:rsidR="00001F21" w:rsidRPr="00001F21" w:rsidRDefault="00001F21" w:rsidP="00001F21">
            <w:pPr>
              <w:rPr>
                <w:sz w:val="18"/>
                <w:szCs w:val="18"/>
              </w:rPr>
            </w:pPr>
            <w:r w:rsidRPr="00001F21">
              <w:rPr>
                <w:sz w:val="18"/>
                <w:szCs w:val="18"/>
              </w:rPr>
              <w:t>Desmineralización</w:t>
            </w:r>
          </w:p>
          <w:p w14:paraId="508F95C3" w14:textId="4007C965" w:rsidR="003834C5" w:rsidRDefault="00001F21" w:rsidP="00001F21">
            <w:pPr>
              <w:rPr>
                <w:sz w:val="18"/>
                <w:szCs w:val="18"/>
              </w:rPr>
            </w:pPr>
            <w:r w:rsidRPr="00001F21">
              <w:rPr>
                <w:sz w:val="18"/>
                <w:szCs w:val="18"/>
              </w:rPr>
              <w:t>ósea</w:t>
            </w:r>
          </w:p>
        </w:tc>
        <w:tc>
          <w:tcPr>
            <w:tcW w:w="2207" w:type="dxa"/>
          </w:tcPr>
          <w:p w14:paraId="02AD1355" w14:textId="77777777" w:rsidR="00001F21" w:rsidRPr="00001F21" w:rsidRDefault="00001F21" w:rsidP="00001F21">
            <w:pPr>
              <w:rPr>
                <w:sz w:val="18"/>
                <w:szCs w:val="18"/>
              </w:rPr>
            </w:pPr>
            <w:r w:rsidRPr="00001F21">
              <w:rPr>
                <w:sz w:val="18"/>
                <w:szCs w:val="18"/>
              </w:rPr>
              <w:t>Diabetes mellitus. Hipertensión no tratada.</w:t>
            </w:r>
          </w:p>
          <w:p w14:paraId="44CB5329" w14:textId="77777777" w:rsidR="00001F21" w:rsidRPr="00001F21" w:rsidRDefault="00001F21" w:rsidP="00001F21">
            <w:pPr>
              <w:rPr>
                <w:sz w:val="18"/>
                <w:szCs w:val="18"/>
              </w:rPr>
            </w:pPr>
            <w:r w:rsidRPr="00001F21">
              <w:rPr>
                <w:sz w:val="18"/>
                <w:szCs w:val="18"/>
              </w:rPr>
              <w:t>Osteoporosis previa. Uso concomitante de</w:t>
            </w:r>
          </w:p>
          <w:p w14:paraId="474216FA" w14:textId="77777777" w:rsidR="00001F21" w:rsidRPr="00001F21" w:rsidRDefault="00001F21" w:rsidP="00001F21">
            <w:pPr>
              <w:rPr>
                <w:sz w:val="18"/>
                <w:szCs w:val="18"/>
              </w:rPr>
            </w:pPr>
            <w:proofErr w:type="spellStart"/>
            <w:r w:rsidRPr="00001F21">
              <w:rPr>
                <w:sz w:val="18"/>
                <w:szCs w:val="18"/>
              </w:rPr>
              <w:t>Didanosina</w:t>
            </w:r>
            <w:proofErr w:type="spellEnd"/>
            <w:r w:rsidRPr="00001F21">
              <w:rPr>
                <w:sz w:val="18"/>
                <w:szCs w:val="18"/>
              </w:rPr>
              <w:t xml:space="preserve"> y otros medicamentos</w:t>
            </w:r>
          </w:p>
          <w:p w14:paraId="2F7141EB" w14:textId="4D783F73" w:rsidR="003834C5" w:rsidRDefault="00001F21" w:rsidP="00001F21">
            <w:pPr>
              <w:rPr>
                <w:sz w:val="18"/>
                <w:szCs w:val="18"/>
              </w:rPr>
            </w:pPr>
            <w:r w:rsidRPr="00001F21">
              <w:rPr>
                <w:sz w:val="18"/>
                <w:szCs w:val="18"/>
              </w:rPr>
              <w:t>nefrotóxicos o IP potenciados.</w:t>
            </w:r>
          </w:p>
        </w:tc>
        <w:tc>
          <w:tcPr>
            <w:tcW w:w="2207" w:type="dxa"/>
          </w:tcPr>
          <w:p w14:paraId="29010B68" w14:textId="77777777" w:rsidR="00001F21" w:rsidRPr="00001F21" w:rsidRDefault="00001F21" w:rsidP="00001F21">
            <w:pPr>
              <w:rPr>
                <w:sz w:val="18"/>
                <w:szCs w:val="18"/>
              </w:rPr>
            </w:pPr>
            <w:r w:rsidRPr="00001F21">
              <w:rPr>
                <w:sz w:val="18"/>
                <w:szCs w:val="18"/>
              </w:rPr>
              <w:t>Si hay osteoporosis,</w:t>
            </w:r>
          </w:p>
          <w:p w14:paraId="26FA9350" w14:textId="281F6A6D" w:rsidR="003834C5" w:rsidRDefault="00001F21" w:rsidP="00001F21">
            <w:pPr>
              <w:rPr>
                <w:sz w:val="18"/>
                <w:szCs w:val="18"/>
              </w:rPr>
            </w:pPr>
            <w:r w:rsidRPr="00001F21">
              <w:rPr>
                <w:sz w:val="18"/>
                <w:szCs w:val="18"/>
              </w:rPr>
              <w:t>cambiar a ABC.</w:t>
            </w:r>
          </w:p>
        </w:tc>
      </w:tr>
    </w:tbl>
    <w:p w14:paraId="3B96B2F0" w14:textId="1F5B697F" w:rsidR="00C61E51" w:rsidRDefault="00C61E51" w:rsidP="00C61E51">
      <w:pPr>
        <w:rPr>
          <w:sz w:val="18"/>
          <w:szCs w:val="18"/>
        </w:rPr>
      </w:pPr>
    </w:p>
    <w:p w14:paraId="10EAEB7B" w14:textId="2148E87C" w:rsidR="00C61E51" w:rsidRDefault="00001F21" w:rsidP="00AA2753">
      <w:pPr>
        <w:pStyle w:val="Ttulo2"/>
      </w:pPr>
      <w:bookmarkStart w:id="14" w:name="_Toc84920674"/>
      <w:r w:rsidRPr="00001F21">
        <w:t xml:space="preserve">5.6.4 Intervención farmacológica en profilaxis </w:t>
      </w:r>
      <w:proofErr w:type="spellStart"/>
      <w:r w:rsidRPr="00001F21">
        <w:t>post-exposición</w:t>
      </w:r>
      <w:proofErr w:type="spellEnd"/>
      <w:r w:rsidRPr="00001F21">
        <w:t xml:space="preserve"> del VIH e ITS en personas menores de 13 años.</w:t>
      </w:r>
      <w:bookmarkEnd w:id="14"/>
    </w:p>
    <w:p w14:paraId="050B9B04" w14:textId="77777777" w:rsidR="009B138C" w:rsidRPr="009B138C" w:rsidRDefault="009B138C" w:rsidP="009B138C"/>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4"/>
        <w:gridCol w:w="4404"/>
      </w:tblGrid>
      <w:tr w:rsidR="000D189D" w14:paraId="297BB53A" w14:textId="77777777" w:rsidTr="00451BBE">
        <w:tc>
          <w:tcPr>
            <w:tcW w:w="8828" w:type="dxa"/>
            <w:gridSpan w:val="2"/>
          </w:tcPr>
          <w:p w14:paraId="6DAE6762" w14:textId="77777777" w:rsidR="000D189D" w:rsidRPr="000D189D" w:rsidRDefault="000D189D" w:rsidP="000D189D">
            <w:pPr>
              <w:jc w:val="center"/>
              <w:rPr>
                <w:b/>
                <w:bCs/>
                <w:sz w:val="18"/>
                <w:szCs w:val="18"/>
              </w:rPr>
            </w:pPr>
            <w:r w:rsidRPr="000D189D">
              <w:rPr>
                <w:b/>
                <w:bCs/>
                <w:sz w:val="18"/>
                <w:szCs w:val="18"/>
              </w:rPr>
              <w:t>PROFILAXIS POST EXPOSICIÓN AL VIH Y LAS ITS</w:t>
            </w:r>
          </w:p>
          <w:p w14:paraId="2B3EF64D" w14:textId="56C10EAA" w:rsidR="000D189D" w:rsidRDefault="000D189D" w:rsidP="000D189D">
            <w:pPr>
              <w:jc w:val="center"/>
              <w:rPr>
                <w:color w:val="00B050"/>
                <w:sz w:val="18"/>
                <w:szCs w:val="18"/>
              </w:rPr>
            </w:pPr>
            <w:r w:rsidRPr="000D189D">
              <w:rPr>
                <w:b/>
                <w:bCs/>
                <w:sz w:val="18"/>
                <w:szCs w:val="18"/>
              </w:rPr>
              <w:t>EN PERSONAS MENORES DE 13 AÑOS</w:t>
            </w:r>
          </w:p>
        </w:tc>
      </w:tr>
      <w:tr w:rsidR="000D189D" w14:paraId="2F873A49" w14:textId="77777777" w:rsidTr="00451BBE">
        <w:tc>
          <w:tcPr>
            <w:tcW w:w="8828" w:type="dxa"/>
            <w:gridSpan w:val="2"/>
          </w:tcPr>
          <w:p w14:paraId="73E0FF72" w14:textId="77777777" w:rsidR="000D189D" w:rsidRPr="000D189D" w:rsidRDefault="000D189D" w:rsidP="000D189D">
            <w:pPr>
              <w:jc w:val="center"/>
              <w:rPr>
                <w:sz w:val="18"/>
                <w:szCs w:val="18"/>
              </w:rPr>
            </w:pPr>
            <w:r w:rsidRPr="000D189D">
              <w:rPr>
                <w:b/>
                <w:bCs/>
                <w:sz w:val="18"/>
                <w:szCs w:val="18"/>
              </w:rPr>
              <w:t>Profilaxis post exposición del VIH:</w:t>
            </w:r>
            <w:r w:rsidRPr="000D189D">
              <w:rPr>
                <w:sz w:val="18"/>
                <w:szCs w:val="18"/>
              </w:rPr>
              <w:t xml:space="preserve"> El servicio de salud que atienda la urgencia e inicie la profilaxis del</w:t>
            </w:r>
          </w:p>
          <w:p w14:paraId="19B4AB0F" w14:textId="77777777" w:rsidR="000D189D" w:rsidRPr="000D189D" w:rsidRDefault="000D189D" w:rsidP="000D189D">
            <w:pPr>
              <w:jc w:val="center"/>
              <w:rPr>
                <w:sz w:val="18"/>
                <w:szCs w:val="18"/>
              </w:rPr>
            </w:pPr>
            <w:r w:rsidRPr="000D189D">
              <w:rPr>
                <w:sz w:val="18"/>
                <w:szCs w:val="18"/>
              </w:rPr>
              <w:t>VIH, debe en todos los casos entregar al alta del paciente, el total de las dosis necesarias para completar</w:t>
            </w:r>
          </w:p>
          <w:p w14:paraId="11CAE386" w14:textId="43130EA1" w:rsidR="000D189D" w:rsidRDefault="000D189D" w:rsidP="000D189D">
            <w:pPr>
              <w:jc w:val="center"/>
              <w:rPr>
                <w:color w:val="00B050"/>
                <w:sz w:val="18"/>
                <w:szCs w:val="18"/>
              </w:rPr>
            </w:pPr>
            <w:r w:rsidRPr="000D189D">
              <w:rPr>
                <w:sz w:val="18"/>
                <w:szCs w:val="18"/>
              </w:rPr>
              <w:t>30 días de tratamiento profiláctico.</w:t>
            </w:r>
          </w:p>
        </w:tc>
      </w:tr>
      <w:tr w:rsidR="000D189D" w14:paraId="632BD01E" w14:textId="77777777" w:rsidTr="00451BBE">
        <w:tc>
          <w:tcPr>
            <w:tcW w:w="4414" w:type="dxa"/>
          </w:tcPr>
          <w:p w14:paraId="04C05A35" w14:textId="7112F320" w:rsidR="000D189D" w:rsidRPr="000D189D" w:rsidRDefault="000D189D" w:rsidP="000D189D">
            <w:pPr>
              <w:jc w:val="center"/>
              <w:rPr>
                <w:color w:val="00B050"/>
                <w:sz w:val="18"/>
                <w:szCs w:val="18"/>
              </w:rPr>
            </w:pPr>
            <w:r w:rsidRPr="000D189D">
              <w:rPr>
                <w:sz w:val="18"/>
                <w:szCs w:val="18"/>
              </w:rPr>
              <w:t>Medicamento</w:t>
            </w:r>
          </w:p>
        </w:tc>
        <w:tc>
          <w:tcPr>
            <w:tcW w:w="4414" w:type="dxa"/>
          </w:tcPr>
          <w:p w14:paraId="6251475E" w14:textId="7B2B7B10" w:rsidR="000D189D" w:rsidRDefault="000D189D" w:rsidP="000D189D">
            <w:pPr>
              <w:jc w:val="center"/>
              <w:rPr>
                <w:color w:val="00B050"/>
                <w:sz w:val="18"/>
                <w:szCs w:val="18"/>
              </w:rPr>
            </w:pPr>
            <w:r w:rsidRPr="000D189D">
              <w:rPr>
                <w:sz w:val="18"/>
                <w:szCs w:val="18"/>
              </w:rPr>
              <w:t>Presentación y dosis</w:t>
            </w:r>
          </w:p>
        </w:tc>
      </w:tr>
      <w:tr w:rsidR="00FE48EB" w14:paraId="5FC590D8" w14:textId="77777777" w:rsidTr="00451BBE">
        <w:tc>
          <w:tcPr>
            <w:tcW w:w="4414" w:type="dxa"/>
          </w:tcPr>
          <w:p w14:paraId="145C9DA5" w14:textId="77777777" w:rsidR="00FE48EB" w:rsidRPr="002C3002" w:rsidRDefault="00FE48EB" w:rsidP="002C3002">
            <w:pPr>
              <w:rPr>
                <w:sz w:val="18"/>
                <w:szCs w:val="18"/>
              </w:rPr>
            </w:pPr>
            <w:r w:rsidRPr="002C3002">
              <w:rPr>
                <w:sz w:val="18"/>
                <w:szCs w:val="18"/>
              </w:rPr>
              <w:t xml:space="preserve">En </w:t>
            </w:r>
            <w:proofErr w:type="gramStart"/>
            <w:r w:rsidRPr="002C3002">
              <w:rPr>
                <w:sz w:val="18"/>
                <w:szCs w:val="18"/>
              </w:rPr>
              <w:t>niños y niñas</w:t>
            </w:r>
            <w:proofErr w:type="gramEnd"/>
            <w:r w:rsidRPr="002C3002">
              <w:rPr>
                <w:sz w:val="18"/>
                <w:szCs w:val="18"/>
              </w:rPr>
              <w:t xml:space="preserve"> de 14</w:t>
            </w:r>
          </w:p>
          <w:p w14:paraId="40187EBC" w14:textId="77777777" w:rsidR="00FE48EB" w:rsidRPr="002C3002" w:rsidRDefault="00FE48EB" w:rsidP="002C3002">
            <w:pPr>
              <w:rPr>
                <w:sz w:val="18"/>
                <w:szCs w:val="18"/>
              </w:rPr>
            </w:pPr>
            <w:r w:rsidRPr="002C3002">
              <w:rPr>
                <w:sz w:val="18"/>
                <w:szCs w:val="18"/>
              </w:rPr>
              <w:t>días y menores de 13 años,</w:t>
            </w:r>
          </w:p>
          <w:p w14:paraId="06C2CA31" w14:textId="77777777" w:rsidR="00FE48EB" w:rsidRPr="002C3002" w:rsidRDefault="00FE48EB" w:rsidP="002C3002">
            <w:pPr>
              <w:rPr>
                <w:sz w:val="18"/>
                <w:szCs w:val="18"/>
              </w:rPr>
            </w:pPr>
            <w:r w:rsidRPr="002C3002">
              <w:rPr>
                <w:sz w:val="18"/>
                <w:szCs w:val="18"/>
              </w:rPr>
              <w:t>se recomienda profilaxis ante</w:t>
            </w:r>
          </w:p>
          <w:p w14:paraId="79D36FBF" w14:textId="77777777" w:rsidR="00FE48EB" w:rsidRPr="002C3002" w:rsidRDefault="00FE48EB" w:rsidP="002C3002">
            <w:pPr>
              <w:rPr>
                <w:sz w:val="18"/>
                <w:szCs w:val="18"/>
              </w:rPr>
            </w:pPr>
            <w:r w:rsidRPr="002C3002">
              <w:rPr>
                <w:sz w:val="18"/>
                <w:szCs w:val="18"/>
              </w:rPr>
              <w:t>la exposición de riesgo al VIH,</w:t>
            </w:r>
          </w:p>
          <w:p w14:paraId="3F72EA33" w14:textId="77777777" w:rsidR="00FE48EB" w:rsidRPr="002C3002" w:rsidRDefault="00FE48EB" w:rsidP="002C3002">
            <w:pPr>
              <w:rPr>
                <w:sz w:val="18"/>
                <w:szCs w:val="18"/>
              </w:rPr>
            </w:pPr>
            <w:r w:rsidRPr="002C3002">
              <w:rPr>
                <w:sz w:val="18"/>
                <w:szCs w:val="18"/>
              </w:rPr>
              <w:lastRenderedPageBreak/>
              <w:t>el uso de Zidovudina,</w:t>
            </w:r>
          </w:p>
          <w:p w14:paraId="0CB4E3BA" w14:textId="368F6B16" w:rsidR="00FE48EB" w:rsidRDefault="00FE48EB" w:rsidP="002C3002">
            <w:pPr>
              <w:rPr>
                <w:color w:val="00B050"/>
                <w:sz w:val="18"/>
                <w:szCs w:val="18"/>
              </w:rPr>
            </w:pPr>
            <w:proofErr w:type="spellStart"/>
            <w:r w:rsidRPr="002C3002">
              <w:rPr>
                <w:sz w:val="18"/>
                <w:szCs w:val="18"/>
              </w:rPr>
              <w:t>Lamivudina</w:t>
            </w:r>
            <w:proofErr w:type="spellEnd"/>
            <w:r w:rsidRPr="002C3002">
              <w:rPr>
                <w:sz w:val="18"/>
                <w:szCs w:val="18"/>
              </w:rPr>
              <w:t xml:space="preserve"> y Lopinavir-</w:t>
            </w:r>
            <w:proofErr w:type="spellStart"/>
            <w:r w:rsidRPr="002C3002">
              <w:rPr>
                <w:sz w:val="18"/>
                <w:szCs w:val="18"/>
              </w:rPr>
              <w:t>rtv</w:t>
            </w:r>
            <w:proofErr w:type="spellEnd"/>
            <w:r w:rsidRPr="002C3002">
              <w:rPr>
                <w:sz w:val="18"/>
                <w:szCs w:val="18"/>
              </w:rPr>
              <w:t>.</w:t>
            </w:r>
          </w:p>
        </w:tc>
        <w:tc>
          <w:tcPr>
            <w:tcW w:w="4414" w:type="dxa"/>
            <w:vMerge w:val="restart"/>
          </w:tcPr>
          <w:p w14:paraId="27198472" w14:textId="77777777" w:rsidR="00FE48EB" w:rsidRPr="00FE48EB" w:rsidRDefault="00FE48EB" w:rsidP="00FE48EB">
            <w:pPr>
              <w:rPr>
                <w:sz w:val="18"/>
                <w:szCs w:val="18"/>
              </w:rPr>
            </w:pPr>
            <w:r w:rsidRPr="00FE48EB">
              <w:rPr>
                <w:sz w:val="18"/>
                <w:szCs w:val="18"/>
              </w:rPr>
              <w:lastRenderedPageBreak/>
              <w:t>Zidovudina: Suspensión 10 mg/ml. Tabletas de 100 y 300 mg</w:t>
            </w:r>
          </w:p>
          <w:p w14:paraId="18FAD552" w14:textId="77777777" w:rsidR="00FE48EB" w:rsidRPr="00FE48EB" w:rsidRDefault="00FE48EB" w:rsidP="00FE48EB">
            <w:pPr>
              <w:rPr>
                <w:sz w:val="18"/>
                <w:szCs w:val="18"/>
              </w:rPr>
            </w:pPr>
            <w:r w:rsidRPr="00FE48EB">
              <w:rPr>
                <w:sz w:val="18"/>
                <w:szCs w:val="18"/>
              </w:rPr>
              <w:t>- De 4 a 9 kg de peso: 12 mg/Kg cada 12 horas x 30 días.</w:t>
            </w:r>
          </w:p>
          <w:p w14:paraId="69D65E56" w14:textId="77777777" w:rsidR="00FE48EB" w:rsidRPr="00FE48EB" w:rsidRDefault="00FE48EB" w:rsidP="00FE48EB">
            <w:pPr>
              <w:rPr>
                <w:sz w:val="18"/>
                <w:szCs w:val="18"/>
              </w:rPr>
            </w:pPr>
            <w:r w:rsidRPr="00FE48EB">
              <w:rPr>
                <w:sz w:val="18"/>
                <w:szCs w:val="18"/>
              </w:rPr>
              <w:t>- De 9 a 30 kg de peso: 9 mg/Kg cada 12 horas x 30 días.</w:t>
            </w:r>
          </w:p>
          <w:p w14:paraId="5FEE083E" w14:textId="77777777" w:rsidR="00FE48EB" w:rsidRPr="00FE48EB" w:rsidRDefault="00FE48EB" w:rsidP="00FE48EB">
            <w:pPr>
              <w:rPr>
                <w:sz w:val="18"/>
                <w:szCs w:val="18"/>
              </w:rPr>
            </w:pPr>
            <w:r w:rsidRPr="00FE48EB">
              <w:rPr>
                <w:sz w:val="18"/>
                <w:szCs w:val="18"/>
              </w:rPr>
              <w:lastRenderedPageBreak/>
              <w:t>- Peso mayor o igual a 30 Kg: 300 mg cada 12 horas x 30 días.</w:t>
            </w:r>
          </w:p>
          <w:p w14:paraId="49BF2E28" w14:textId="77777777" w:rsidR="00FE48EB" w:rsidRPr="00FE48EB" w:rsidRDefault="00FE48EB" w:rsidP="00FE48EB">
            <w:pPr>
              <w:rPr>
                <w:sz w:val="18"/>
                <w:szCs w:val="18"/>
              </w:rPr>
            </w:pPr>
            <w:proofErr w:type="spellStart"/>
            <w:r w:rsidRPr="00FE48EB">
              <w:rPr>
                <w:sz w:val="18"/>
                <w:szCs w:val="18"/>
              </w:rPr>
              <w:t>Lamivudina</w:t>
            </w:r>
            <w:proofErr w:type="spellEnd"/>
            <w:r w:rsidRPr="00FE48EB">
              <w:rPr>
                <w:sz w:val="18"/>
                <w:szCs w:val="18"/>
              </w:rPr>
              <w:t>: Solución oral 10 mg/ ml. Tableta x 150 mg x 30 días.</w:t>
            </w:r>
          </w:p>
          <w:p w14:paraId="465A8322" w14:textId="77777777" w:rsidR="00FE48EB" w:rsidRPr="00FE48EB" w:rsidRDefault="00FE48EB" w:rsidP="00FE48EB">
            <w:pPr>
              <w:rPr>
                <w:sz w:val="18"/>
                <w:szCs w:val="18"/>
              </w:rPr>
            </w:pPr>
            <w:r w:rsidRPr="00FE48EB">
              <w:rPr>
                <w:sz w:val="18"/>
                <w:szCs w:val="18"/>
              </w:rPr>
              <w:t>- 4 mg / Kg de peso cada 12 horas x 30 días</w:t>
            </w:r>
          </w:p>
          <w:p w14:paraId="19657796" w14:textId="77777777" w:rsidR="00FE48EB" w:rsidRPr="00FE48EB" w:rsidRDefault="00FE48EB" w:rsidP="00FE48EB">
            <w:pPr>
              <w:rPr>
                <w:sz w:val="18"/>
                <w:szCs w:val="18"/>
              </w:rPr>
            </w:pPr>
            <w:r w:rsidRPr="00FE48EB">
              <w:rPr>
                <w:sz w:val="18"/>
                <w:szCs w:val="18"/>
              </w:rPr>
              <w:t>- Niños de 14 a 21 kilos: 1⁄2 tableta (75 mg) cada 12 horas. Dosis total 150 mg</w:t>
            </w:r>
          </w:p>
          <w:p w14:paraId="64A96CDD" w14:textId="77777777" w:rsidR="00FE48EB" w:rsidRPr="00FE48EB" w:rsidRDefault="00FE48EB" w:rsidP="00FE48EB">
            <w:pPr>
              <w:rPr>
                <w:sz w:val="18"/>
                <w:szCs w:val="18"/>
              </w:rPr>
            </w:pPr>
            <w:r w:rsidRPr="00FE48EB">
              <w:rPr>
                <w:sz w:val="18"/>
                <w:szCs w:val="18"/>
              </w:rPr>
              <w:t>x 30 días</w:t>
            </w:r>
          </w:p>
          <w:p w14:paraId="52C23D0A" w14:textId="77777777" w:rsidR="00FE48EB" w:rsidRPr="00FE48EB" w:rsidRDefault="00FE48EB" w:rsidP="00FE48EB">
            <w:pPr>
              <w:rPr>
                <w:sz w:val="18"/>
                <w:szCs w:val="18"/>
              </w:rPr>
            </w:pPr>
            <w:r w:rsidRPr="00FE48EB">
              <w:rPr>
                <w:sz w:val="18"/>
                <w:szCs w:val="18"/>
              </w:rPr>
              <w:t>- Niños Mayores de 21 y menor de 30 kilos: 1⁄2 tableta (75 mg) AM y 1 tableta</w:t>
            </w:r>
          </w:p>
          <w:p w14:paraId="00AC91E9" w14:textId="77777777" w:rsidR="00FE48EB" w:rsidRPr="00FE48EB" w:rsidRDefault="00FE48EB" w:rsidP="00FE48EB">
            <w:pPr>
              <w:rPr>
                <w:sz w:val="18"/>
                <w:szCs w:val="18"/>
              </w:rPr>
            </w:pPr>
            <w:r w:rsidRPr="00FE48EB">
              <w:rPr>
                <w:sz w:val="18"/>
                <w:szCs w:val="18"/>
              </w:rPr>
              <w:t>(150 mg) PM. Dosis total 225 mg x 30 días.</w:t>
            </w:r>
          </w:p>
          <w:p w14:paraId="776652FC" w14:textId="77777777" w:rsidR="00FE48EB" w:rsidRPr="00FE48EB" w:rsidRDefault="00FE48EB" w:rsidP="00FE48EB">
            <w:pPr>
              <w:rPr>
                <w:sz w:val="18"/>
                <w:szCs w:val="18"/>
              </w:rPr>
            </w:pPr>
            <w:r w:rsidRPr="00FE48EB">
              <w:rPr>
                <w:sz w:val="18"/>
                <w:szCs w:val="18"/>
              </w:rPr>
              <w:t>- Mayor o igual a 30 kilos 1 tableta (150 mg) cada 12 horas. Dosis total 300 mg</w:t>
            </w:r>
          </w:p>
          <w:p w14:paraId="2B8A885B" w14:textId="77777777" w:rsidR="00FE48EB" w:rsidRPr="00FE48EB" w:rsidRDefault="00FE48EB" w:rsidP="00FE48EB">
            <w:pPr>
              <w:rPr>
                <w:sz w:val="18"/>
                <w:szCs w:val="18"/>
              </w:rPr>
            </w:pPr>
            <w:r w:rsidRPr="00FE48EB">
              <w:rPr>
                <w:sz w:val="18"/>
                <w:szCs w:val="18"/>
              </w:rPr>
              <w:t>x 30 días</w:t>
            </w:r>
          </w:p>
          <w:p w14:paraId="7C9DE558" w14:textId="77777777" w:rsidR="00FE48EB" w:rsidRPr="00FE48EB" w:rsidRDefault="00FE48EB" w:rsidP="00FE48EB">
            <w:pPr>
              <w:rPr>
                <w:sz w:val="18"/>
                <w:szCs w:val="18"/>
              </w:rPr>
            </w:pPr>
            <w:r w:rsidRPr="00FE48EB">
              <w:rPr>
                <w:sz w:val="18"/>
                <w:szCs w:val="18"/>
              </w:rPr>
              <w:t>Lopinavir/ritonavir: Solución oral: 400/100 mg/5 ml. Tabletas x 100/25 y</w:t>
            </w:r>
          </w:p>
          <w:p w14:paraId="50745C73" w14:textId="77777777" w:rsidR="00FE48EB" w:rsidRPr="00FE48EB" w:rsidRDefault="00FE48EB" w:rsidP="00FE48EB">
            <w:pPr>
              <w:rPr>
                <w:sz w:val="18"/>
                <w:szCs w:val="18"/>
              </w:rPr>
            </w:pPr>
            <w:r w:rsidRPr="00FE48EB">
              <w:rPr>
                <w:sz w:val="18"/>
                <w:szCs w:val="18"/>
              </w:rPr>
              <w:t>200/50 mg.</w:t>
            </w:r>
          </w:p>
          <w:p w14:paraId="1B0B8ECE" w14:textId="77777777" w:rsidR="00FE48EB" w:rsidRPr="00FE48EB" w:rsidRDefault="00FE48EB" w:rsidP="00FE48EB">
            <w:pPr>
              <w:rPr>
                <w:sz w:val="18"/>
                <w:szCs w:val="18"/>
              </w:rPr>
            </w:pPr>
            <w:r w:rsidRPr="00FE48EB">
              <w:rPr>
                <w:sz w:val="18"/>
                <w:szCs w:val="18"/>
              </w:rPr>
              <w:t>- Mayores de 14 días a 12 meses de edad: 300/75 mg/m2 de área de superficie</w:t>
            </w:r>
          </w:p>
          <w:p w14:paraId="25724550" w14:textId="77777777" w:rsidR="00FE48EB" w:rsidRPr="00FE48EB" w:rsidRDefault="00FE48EB" w:rsidP="00FE48EB">
            <w:pPr>
              <w:rPr>
                <w:sz w:val="18"/>
                <w:szCs w:val="18"/>
              </w:rPr>
            </w:pPr>
            <w:r w:rsidRPr="00FE48EB">
              <w:rPr>
                <w:sz w:val="18"/>
                <w:szCs w:val="18"/>
              </w:rPr>
              <w:t>corporal por dosis cada 12 horas x 30 días.</w:t>
            </w:r>
          </w:p>
          <w:p w14:paraId="2BD9C4B0" w14:textId="77777777" w:rsidR="00FE48EB" w:rsidRPr="00FE48EB" w:rsidRDefault="00FE48EB" w:rsidP="00FE48EB">
            <w:pPr>
              <w:rPr>
                <w:sz w:val="18"/>
                <w:szCs w:val="18"/>
              </w:rPr>
            </w:pPr>
            <w:r w:rsidRPr="00FE48EB">
              <w:rPr>
                <w:sz w:val="18"/>
                <w:szCs w:val="18"/>
              </w:rPr>
              <w:t xml:space="preserve">- Mayores de 12 meses a 18 </w:t>
            </w:r>
            <w:proofErr w:type="gramStart"/>
            <w:r w:rsidRPr="00FE48EB">
              <w:rPr>
                <w:sz w:val="18"/>
                <w:szCs w:val="18"/>
              </w:rPr>
              <w:t>años de edad</w:t>
            </w:r>
            <w:proofErr w:type="gramEnd"/>
            <w:r w:rsidRPr="00FE48EB">
              <w:rPr>
                <w:sz w:val="18"/>
                <w:szCs w:val="18"/>
              </w:rPr>
              <w:t>: 230/57,5 mg/m2 de área de</w:t>
            </w:r>
          </w:p>
          <w:p w14:paraId="5C5B575F" w14:textId="77777777" w:rsidR="00FE48EB" w:rsidRPr="00FE48EB" w:rsidRDefault="00FE48EB" w:rsidP="00FE48EB">
            <w:pPr>
              <w:rPr>
                <w:sz w:val="18"/>
                <w:szCs w:val="18"/>
              </w:rPr>
            </w:pPr>
            <w:r w:rsidRPr="00FE48EB">
              <w:rPr>
                <w:sz w:val="18"/>
                <w:szCs w:val="18"/>
              </w:rPr>
              <w:t>superficie corporal por dosis cada 12 horas x 30 días</w:t>
            </w:r>
          </w:p>
          <w:p w14:paraId="3733C3A2" w14:textId="77777777" w:rsidR="00FE48EB" w:rsidRPr="00FE48EB" w:rsidRDefault="00FE48EB" w:rsidP="00FE48EB">
            <w:pPr>
              <w:rPr>
                <w:sz w:val="18"/>
                <w:szCs w:val="18"/>
              </w:rPr>
            </w:pPr>
            <w:r w:rsidRPr="00FE48EB">
              <w:rPr>
                <w:sz w:val="18"/>
                <w:szCs w:val="18"/>
              </w:rPr>
              <w:t>- 15 a 20 Kilos: 2 tabletas de 100/25, cada 12 horas x 30 días;</w:t>
            </w:r>
          </w:p>
          <w:p w14:paraId="57E4FBCF" w14:textId="77777777" w:rsidR="00FE48EB" w:rsidRPr="00FE48EB" w:rsidRDefault="00FE48EB" w:rsidP="00FE48EB">
            <w:pPr>
              <w:rPr>
                <w:sz w:val="18"/>
                <w:szCs w:val="18"/>
              </w:rPr>
            </w:pPr>
            <w:r w:rsidRPr="00FE48EB">
              <w:rPr>
                <w:sz w:val="18"/>
                <w:szCs w:val="18"/>
              </w:rPr>
              <w:t>- &gt;20 a 25 Kilos: 3 tabletas de 100/25 cada 12 horas x 30 días;</w:t>
            </w:r>
          </w:p>
          <w:p w14:paraId="069D2BDD" w14:textId="77777777" w:rsidR="00FE48EB" w:rsidRPr="00FE48EB" w:rsidRDefault="00FE48EB" w:rsidP="00FE48EB">
            <w:pPr>
              <w:rPr>
                <w:sz w:val="18"/>
                <w:szCs w:val="18"/>
              </w:rPr>
            </w:pPr>
            <w:r w:rsidRPr="00FE48EB">
              <w:rPr>
                <w:sz w:val="18"/>
                <w:szCs w:val="18"/>
              </w:rPr>
              <w:t>- &gt;30 a 35 Kilos: 4 tabletas de 100/25 cada 12 horas x 30 días; Se aclara que 4</w:t>
            </w:r>
          </w:p>
          <w:p w14:paraId="56A873D5" w14:textId="77777777" w:rsidR="00FE48EB" w:rsidRPr="00FE48EB" w:rsidRDefault="00FE48EB" w:rsidP="00FE48EB">
            <w:pPr>
              <w:rPr>
                <w:sz w:val="18"/>
                <w:szCs w:val="18"/>
              </w:rPr>
            </w:pPr>
            <w:r w:rsidRPr="00FE48EB">
              <w:rPr>
                <w:sz w:val="18"/>
                <w:szCs w:val="18"/>
              </w:rPr>
              <w:t>tabletas de LPV/r x 100/25 mg pueden ser sustituidas por 2 tabletas de 200/50</w:t>
            </w:r>
          </w:p>
          <w:p w14:paraId="17709536" w14:textId="77777777" w:rsidR="00FE48EB" w:rsidRPr="00FE48EB" w:rsidRDefault="00FE48EB" w:rsidP="00FE48EB">
            <w:pPr>
              <w:rPr>
                <w:sz w:val="18"/>
                <w:szCs w:val="18"/>
              </w:rPr>
            </w:pPr>
            <w:r w:rsidRPr="00FE48EB">
              <w:rPr>
                <w:sz w:val="18"/>
                <w:szCs w:val="18"/>
              </w:rPr>
              <w:t>mg teniendo en cuenta que estas últimas son más grandes y difíciles de ingerir.</w:t>
            </w:r>
          </w:p>
          <w:p w14:paraId="5519027F" w14:textId="77777777" w:rsidR="00FE48EB" w:rsidRPr="00FE48EB" w:rsidRDefault="00FE48EB" w:rsidP="00FE48EB">
            <w:pPr>
              <w:rPr>
                <w:sz w:val="18"/>
                <w:szCs w:val="18"/>
              </w:rPr>
            </w:pPr>
            <w:r w:rsidRPr="00FE48EB">
              <w:rPr>
                <w:sz w:val="18"/>
                <w:szCs w:val="18"/>
              </w:rPr>
              <w:t>Abacavir: Solución oral 20 mg/ ml. Tableta x 300mg.</w:t>
            </w:r>
          </w:p>
          <w:p w14:paraId="3B819FB9" w14:textId="77777777" w:rsidR="00FE48EB" w:rsidRPr="00FE48EB" w:rsidRDefault="00FE48EB" w:rsidP="00FE48EB">
            <w:pPr>
              <w:rPr>
                <w:sz w:val="18"/>
                <w:szCs w:val="18"/>
              </w:rPr>
            </w:pPr>
            <w:r w:rsidRPr="00FE48EB">
              <w:rPr>
                <w:sz w:val="18"/>
                <w:szCs w:val="18"/>
              </w:rPr>
              <w:t>- Solución oral: 8 mg/ Kg (máximo 300 mg al día) cada 12 horas x 30 días. No</w:t>
            </w:r>
          </w:p>
          <w:p w14:paraId="76D95106" w14:textId="77777777" w:rsidR="00FE48EB" w:rsidRPr="00FE48EB" w:rsidRDefault="00FE48EB" w:rsidP="00FE48EB">
            <w:pPr>
              <w:rPr>
                <w:sz w:val="18"/>
                <w:szCs w:val="18"/>
              </w:rPr>
            </w:pPr>
            <w:r w:rsidRPr="00FE48EB">
              <w:rPr>
                <w:sz w:val="18"/>
                <w:szCs w:val="18"/>
              </w:rPr>
              <w:t>aprobada para uso en menores de 3 meses de edad.</w:t>
            </w:r>
          </w:p>
          <w:p w14:paraId="0A0644B3" w14:textId="77777777" w:rsidR="00FE48EB" w:rsidRPr="00FE48EB" w:rsidRDefault="00FE48EB" w:rsidP="00FE48EB">
            <w:pPr>
              <w:rPr>
                <w:sz w:val="18"/>
                <w:szCs w:val="18"/>
              </w:rPr>
            </w:pPr>
            <w:r w:rsidRPr="00FE48EB">
              <w:rPr>
                <w:sz w:val="18"/>
                <w:szCs w:val="18"/>
              </w:rPr>
              <w:t>- De 14 a 21 Kilos: 1⁄2 tableta (150 mg) cada 12 horas. (Dosis total 300 mg)</w:t>
            </w:r>
          </w:p>
          <w:p w14:paraId="2D8641B3" w14:textId="77777777" w:rsidR="00FE48EB" w:rsidRPr="00FE48EB" w:rsidRDefault="00FE48EB" w:rsidP="00FE48EB">
            <w:pPr>
              <w:rPr>
                <w:sz w:val="18"/>
                <w:szCs w:val="18"/>
              </w:rPr>
            </w:pPr>
            <w:r w:rsidRPr="00FE48EB">
              <w:rPr>
                <w:sz w:val="18"/>
                <w:szCs w:val="18"/>
              </w:rPr>
              <w:t>x 30 días.</w:t>
            </w:r>
          </w:p>
          <w:p w14:paraId="12932C1F" w14:textId="77777777" w:rsidR="00FE48EB" w:rsidRPr="00FE48EB" w:rsidRDefault="00FE48EB" w:rsidP="00FE48EB">
            <w:pPr>
              <w:rPr>
                <w:sz w:val="18"/>
                <w:szCs w:val="18"/>
              </w:rPr>
            </w:pPr>
            <w:r w:rsidRPr="00FE48EB">
              <w:rPr>
                <w:sz w:val="18"/>
                <w:szCs w:val="18"/>
              </w:rPr>
              <w:t>- Mayor de 21 y menor de 30 Kilos: 1⁄2 tableta (150 mg) AM y 1 tableta (300 mg)</w:t>
            </w:r>
          </w:p>
          <w:p w14:paraId="33106EAA" w14:textId="77777777" w:rsidR="00FE48EB" w:rsidRPr="00FE48EB" w:rsidRDefault="00FE48EB" w:rsidP="00FE48EB">
            <w:pPr>
              <w:rPr>
                <w:sz w:val="18"/>
                <w:szCs w:val="18"/>
              </w:rPr>
            </w:pPr>
            <w:r w:rsidRPr="00FE48EB">
              <w:rPr>
                <w:sz w:val="18"/>
                <w:szCs w:val="18"/>
              </w:rPr>
              <w:t>PM</w:t>
            </w:r>
          </w:p>
          <w:p w14:paraId="18723B97" w14:textId="77777777" w:rsidR="00FE48EB" w:rsidRPr="00FE48EB" w:rsidRDefault="00FE48EB" w:rsidP="00FE48EB">
            <w:pPr>
              <w:rPr>
                <w:sz w:val="18"/>
                <w:szCs w:val="18"/>
              </w:rPr>
            </w:pPr>
            <w:r w:rsidRPr="00FE48EB">
              <w:rPr>
                <w:sz w:val="18"/>
                <w:szCs w:val="18"/>
              </w:rPr>
              <w:t>(Dosis total 450 mg) x 30 días.</w:t>
            </w:r>
          </w:p>
          <w:p w14:paraId="7164BC6F" w14:textId="77777777" w:rsidR="00FE48EB" w:rsidRPr="00FE48EB" w:rsidRDefault="00FE48EB" w:rsidP="00FE48EB">
            <w:pPr>
              <w:rPr>
                <w:sz w:val="18"/>
                <w:szCs w:val="18"/>
              </w:rPr>
            </w:pPr>
            <w:r w:rsidRPr="00FE48EB">
              <w:rPr>
                <w:sz w:val="18"/>
                <w:szCs w:val="18"/>
              </w:rPr>
              <w:t>- Mayor o igual a 30 Kilos: 1 tableta (300 mg) cada 12 horas (Dosis total 600</w:t>
            </w:r>
          </w:p>
          <w:p w14:paraId="409DF173" w14:textId="77777777" w:rsidR="00FE48EB" w:rsidRPr="00FE48EB" w:rsidRDefault="00FE48EB" w:rsidP="00FE48EB">
            <w:pPr>
              <w:rPr>
                <w:sz w:val="18"/>
                <w:szCs w:val="18"/>
              </w:rPr>
            </w:pPr>
            <w:r w:rsidRPr="00FE48EB">
              <w:rPr>
                <w:sz w:val="18"/>
                <w:szCs w:val="18"/>
              </w:rPr>
              <w:t>mg.) x 30 días.</w:t>
            </w:r>
          </w:p>
          <w:p w14:paraId="06449DD3" w14:textId="77777777" w:rsidR="00FE48EB" w:rsidRPr="00FE48EB" w:rsidRDefault="00FE48EB" w:rsidP="00FE48EB">
            <w:pPr>
              <w:rPr>
                <w:sz w:val="18"/>
                <w:szCs w:val="18"/>
              </w:rPr>
            </w:pPr>
            <w:proofErr w:type="spellStart"/>
            <w:r w:rsidRPr="00FE48EB">
              <w:rPr>
                <w:sz w:val="18"/>
                <w:szCs w:val="18"/>
              </w:rPr>
              <w:t>Raltegravir</w:t>
            </w:r>
            <w:proofErr w:type="spellEnd"/>
            <w:r w:rsidRPr="00FE48EB">
              <w:rPr>
                <w:sz w:val="18"/>
                <w:szCs w:val="18"/>
              </w:rPr>
              <w:t>: Tabletas masticables x 25 y 100 mg. Tableta recubierta de 400 mg</w:t>
            </w:r>
          </w:p>
          <w:p w14:paraId="1167615A" w14:textId="77777777" w:rsidR="00FE48EB" w:rsidRPr="00FE48EB" w:rsidRDefault="00FE48EB" w:rsidP="00FE48EB">
            <w:pPr>
              <w:rPr>
                <w:sz w:val="18"/>
                <w:szCs w:val="18"/>
              </w:rPr>
            </w:pPr>
            <w:r w:rsidRPr="00FE48EB">
              <w:rPr>
                <w:sz w:val="18"/>
                <w:szCs w:val="18"/>
              </w:rPr>
              <w:t>- Neonatos: no está aprobado su uso en neonatos.</w:t>
            </w:r>
          </w:p>
          <w:p w14:paraId="460E67ED" w14:textId="77777777" w:rsidR="00FE48EB" w:rsidRPr="00FE48EB" w:rsidRDefault="00FE48EB" w:rsidP="00FE48EB">
            <w:pPr>
              <w:rPr>
                <w:sz w:val="18"/>
                <w:szCs w:val="18"/>
              </w:rPr>
            </w:pPr>
            <w:r w:rsidRPr="00FE48EB">
              <w:rPr>
                <w:sz w:val="18"/>
                <w:szCs w:val="18"/>
              </w:rPr>
              <w:t>- De 10 a 14 Kg de peso: 75 mg cada 12 horas (3 cápsulas por 25 mg.</w:t>
            </w:r>
          </w:p>
          <w:p w14:paraId="31B5CBB6" w14:textId="77777777" w:rsidR="00FE48EB" w:rsidRPr="00FE48EB" w:rsidRDefault="00FE48EB" w:rsidP="00FE48EB">
            <w:pPr>
              <w:rPr>
                <w:sz w:val="18"/>
                <w:szCs w:val="18"/>
              </w:rPr>
            </w:pPr>
            <w:r w:rsidRPr="00FE48EB">
              <w:rPr>
                <w:sz w:val="18"/>
                <w:szCs w:val="18"/>
              </w:rPr>
              <w:t>masticables) x 30 días.</w:t>
            </w:r>
          </w:p>
          <w:p w14:paraId="2654CC14" w14:textId="77777777" w:rsidR="00FE48EB" w:rsidRPr="00FE48EB" w:rsidRDefault="00FE48EB" w:rsidP="00FE48EB">
            <w:pPr>
              <w:rPr>
                <w:sz w:val="18"/>
                <w:szCs w:val="18"/>
              </w:rPr>
            </w:pPr>
            <w:r w:rsidRPr="00FE48EB">
              <w:rPr>
                <w:sz w:val="18"/>
                <w:szCs w:val="18"/>
              </w:rPr>
              <w:lastRenderedPageBreak/>
              <w:t>- De 14 a 19 Kilos: 100 mg cada 12 horas (1 cápsula por 100 mg masticables) x</w:t>
            </w:r>
          </w:p>
          <w:p w14:paraId="1E25CF45" w14:textId="77777777" w:rsidR="00FE48EB" w:rsidRPr="00FE48EB" w:rsidRDefault="00FE48EB" w:rsidP="00FE48EB">
            <w:pPr>
              <w:rPr>
                <w:sz w:val="18"/>
                <w:szCs w:val="18"/>
              </w:rPr>
            </w:pPr>
            <w:r w:rsidRPr="00FE48EB">
              <w:rPr>
                <w:sz w:val="18"/>
                <w:szCs w:val="18"/>
              </w:rPr>
              <w:t>30 días.</w:t>
            </w:r>
          </w:p>
          <w:p w14:paraId="2B8D3FCB" w14:textId="77777777" w:rsidR="00FE48EB" w:rsidRPr="00FE48EB" w:rsidRDefault="00FE48EB" w:rsidP="00FE48EB">
            <w:pPr>
              <w:rPr>
                <w:sz w:val="18"/>
                <w:szCs w:val="18"/>
              </w:rPr>
            </w:pPr>
            <w:r w:rsidRPr="00FE48EB">
              <w:rPr>
                <w:sz w:val="18"/>
                <w:szCs w:val="18"/>
              </w:rPr>
              <w:t>- De 20 a 27 Kilos: 150 mg cada 12 horas (1,5 cápsulas por 100 mg masticables)</w:t>
            </w:r>
          </w:p>
          <w:p w14:paraId="64D50B49" w14:textId="77777777" w:rsidR="00FE48EB" w:rsidRPr="00FE48EB" w:rsidRDefault="00FE48EB" w:rsidP="00FE48EB">
            <w:pPr>
              <w:rPr>
                <w:sz w:val="18"/>
                <w:szCs w:val="18"/>
              </w:rPr>
            </w:pPr>
            <w:r w:rsidRPr="00FE48EB">
              <w:rPr>
                <w:sz w:val="18"/>
                <w:szCs w:val="18"/>
              </w:rPr>
              <w:t>x 30 días.</w:t>
            </w:r>
          </w:p>
          <w:p w14:paraId="5C1EE6BB" w14:textId="77777777" w:rsidR="00FE48EB" w:rsidRPr="00FE48EB" w:rsidRDefault="00FE48EB" w:rsidP="00FE48EB">
            <w:pPr>
              <w:rPr>
                <w:sz w:val="18"/>
                <w:szCs w:val="18"/>
              </w:rPr>
            </w:pPr>
            <w:r w:rsidRPr="00FE48EB">
              <w:rPr>
                <w:sz w:val="18"/>
                <w:szCs w:val="18"/>
              </w:rPr>
              <w:t>- De 28 a 39 Kilos: 200 mg cada 12 horas (2 cápsulas por 100 mg masticables)</w:t>
            </w:r>
          </w:p>
          <w:p w14:paraId="28866D66" w14:textId="77777777" w:rsidR="00FE48EB" w:rsidRPr="00FE48EB" w:rsidRDefault="00FE48EB" w:rsidP="00FE48EB">
            <w:pPr>
              <w:rPr>
                <w:sz w:val="18"/>
                <w:szCs w:val="18"/>
              </w:rPr>
            </w:pPr>
            <w:r w:rsidRPr="00FE48EB">
              <w:rPr>
                <w:sz w:val="18"/>
                <w:szCs w:val="18"/>
              </w:rPr>
              <w:t>x 30 días.</w:t>
            </w:r>
          </w:p>
          <w:p w14:paraId="481FB73F" w14:textId="77777777" w:rsidR="00FE48EB" w:rsidRPr="00FE48EB" w:rsidRDefault="00FE48EB" w:rsidP="00FE48EB">
            <w:pPr>
              <w:rPr>
                <w:sz w:val="18"/>
                <w:szCs w:val="18"/>
              </w:rPr>
            </w:pPr>
            <w:r w:rsidRPr="00FE48EB">
              <w:rPr>
                <w:sz w:val="18"/>
                <w:szCs w:val="18"/>
              </w:rPr>
              <w:t>- Mayor o igual a 40 Kilos: 300 mg cada 12 horas (3 cápsulas por 100 mg</w:t>
            </w:r>
          </w:p>
          <w:p w14:paraId="03C5D9E3" w14:textId="77777777" w:rsidR="00FE48EB" w:rsidRPr="00FE48EB" w:rsidRDefault="00FE48EB" w:rsidP="00FE48EB">
            <w:pPr>
              <w:rPr>
                <w:sz w:val="18"/>
                <w:szCs w:val="18"/>
              </w:rPr>
            </w:pPr>
            <w:r w:rsidRPr="00FE48EB">
              <w:rPr>
                <w:sz w:val="18"/>
                <w:szCs w:val="18"/>
              </w:rPr>
              <w:t>masticables) x 30 días.</w:t>
            </w:r>
          </w:p>
          <w:p w14:paraId="58447F74" w14:textId="77777777" w:rsidR="00FE48EB" w:rsidRPr="00FE48EB" w:rsidRDefault="00FE48EB" w:rsidP="00FE48EB">
            <w:pPr>
              <w:rPr>
                <w:sz w:val="18"/>
                <w:szCs w:val="18"/>
              </w:rPr>
            </w:pPr>
            <w:r w:rsidRPr="00FE48EB">
              <w:rPr>
                <w:sz w:val="18"/>
                <w:szCs w:val="18"/>
              </w:rPr>
              <w:t xml:space="preserve">- Pacientes a partir de los 12 </w:t>
            </w:r>
            <w:proofErr w:type="gramStart"/>
            <w:r w:rsidRPr="00FE48EB">
              <w:rPr>
                <w:sz w:val="18"/>
                <w:szCs w:val="18"/>
              </w:rPr>
              <w:t>años de edad</w:t>
            </w:r>
            <w:proofErr w:type="gramEnd"/>
            <w:r w:rsidRPr="00FE48EB">
              <w:rPr>
                <w:sz w:val="18"/>
                <w:szCs w:val="18"/>
              </w:rPr>
              <w:t>: tableta recubierta por 400 mg cada</w:t>
            </w:r>
          </w:p>
          <w:p w14:paraId="1291004F" w14:textId="56DA6280" w:rsidR="00FE48EB" w:rsidRPr="00FE48EB" w:rsidRDefault="00FE48EB" w:rsidP="00FE48EB">
            <w:pPr>
              <w:rPr>
                <w:sz w:val="18"/>
                <w:szCs w:val="18"/>
              </w:rPr>
            </w:pPr>
            <w:r w:rsidRPr="00FE48EB">
              <w:rPr>
                <w:sz w:val="18"/>
                <w:szCs w:val="18"/>
              </w:rPr>
              <w:t>12 horas x 30 días.</w:t>
            </w:r>
          </w:p>
        </w:tc>
      </w:tr>
      <w:tr w:rsidR="00FE48EB" w14:paraId="1BD92F57" w14:textId="77777777" w:rsidTr="00451BBE">
        <w:tc>
          <w:tcPr>
            <w:tcW w:w="4414" w:type="dxa"/>
          </w:tcPr>
          <w:p w14:paraId="2642659B" w14:textId="77777777" w:rsidR="00FE48EB" w:rsidRPr="00EC25F3" w:rsidRDefault="00FE48EB" w:rsidP="00EC25F3">
            <w:pPr>
              <w:rPr>
                <w:sz w:val="18"/>
                <w:szCs w:val="18"/>
              </w:rPr>
            </w:pPr>
            <w:r w:rsidRPr="00EC25F3">
              <w:rPr>
                <w:sz w:val="18"/>
                <w:szCs w:val="18"/>
              </w:rPr>
              <w:lastRenderedPageBreak/>
              <w:t xml:space="preserve">En </w:t>
            </w:r>
            <w:proofErr w:type="gramStart"/>
            <w:r w:rsidRPr="00EC25F3">
              <w:rPr>
                <w:sz w:val="18"/>
                <w:szCs w:val="18"/>
              </w:rPr>
              <w:t>niños y niñas</w:t>
            </w:r>
            <w:proofErr w:type="gramEnd"/>
            <w:r w:rsidRPr="00EC25F3">
              <w:rPr>
                <w:sz w:val="18"/>
                <w:szCs w:val="18"/>
              </w:rPr>
              <w:t xml:space="preserve"> menores</w:t>
            </w:r>
          </w:p>
          <w:p w14:paraId="5C40AFDE" w14:textId="77777777" w:rsidR="00FE48EB" w:rsidRPr="00EC25F3" w:rsidRDefault="00FE48EB" w:rsidP="00EC25F3">
            <w:pPr>
              <w:rPr>
                <w:sz w:val="18"/>
                <w:szCs w:val="18"/>
              </w:rPr>
            </w:pPr>
            <w:r w:rsidRPr="00EC25F3">
              <w:rPr>
                <w:sz w:val="18"/>
                <w:szCs w:val="18"/>
              </w:rPr>
              <w:t>de 3 años se recomienda</w:t>
            </w:r>
          </w:p>
          <w:p w14:paraId="38A7B935" w14:textId="77777777" w:rsidR="00FE48EB" w:rsidRPr="00EC25F3" w:rsidRDefault="00FE48EB" w:rsidP="00EC25F3">
            <w:pPr>
              <w:rPr>
                <w:sz w:val="18"/>
                <w:szCs w:val="18"/>
              </w:rPr>
            </w:pPr>
            <w:r w:rsidRPr="00EC25F3">
              <w:rPr>
                <w:sz w:val="18"/>
                <w:szCs w:val="18"/>
              </w:rPr>
              <w:t>profilaxis ante la exposición</w:t>
            </w:r>
          </w:p>
          <w:p w14:paraId="1578ECC4" w14:textId="77777777" w:rsidR="00FE48EB" w:rsidRPr="00EC25F3" w:rsidRDefault="00FE48EB" w:rsidP="00EC25F3">
            <w:pPr>
              <w:rPr>
                <w:sz w:val="18"/>
                <w:szCs w:val="18"/>
              </w:rPr>
            </w:pPr>
            <w:r w:rsidRPr="00EC25F3">
              <w:rPr>
                <w:sz w:val="18"/>
                <w:szCs w:val="18"/>
              </w:rPr>
              <w:t>de riesgo al VIH en</w:t>
            </w:r>
          </w:p>
          <w:p w14:paraId="5B1FCBC1" w14:textId="77777777" w:rsidR="00FE48EB" w:rsidRPr="00EC25F3" w:rsidRDefault="00FE48EB" w:rsidP="00EC25F3">
            <w:pPr>
              <w:rPr>
                <w:sz w:val="18"/>
                <w:szCs w:val="18"/>
              </w:rPr>
            </w:pPr>
            <w:r w:rsidRPr="00EC25F3">
              <w:rPr>
                <w:sz w:val="18"/>
                <w:szCs w:val="18"/>
              </w:rPr>
              <w:t>presentaciones en</w:t>
            </w:r>
          </w:p>
          <w:p w14:paraId="2D9AF887" w14:textId="6DD89FED" w:rsidR="00FE48EB" w:rsidRDefault="00FE48EB" w:rsidP="00EC25F3">
            <w:pPr>
              <w:rPr>
                <w:color w:val="00B050"/>
                <w:sz w:val="18"/>
                <w:szCs w:val="18"/>
              </w:rPr>
            </w:pPr>
            <w:r w:rsidRPr="00EC25F3">
              <w:rPr>
                <w:sz w:val="18"/>
                <w:szCs w:val="18"/>
              </w:rPr>
              <w:t>suspensión.</w:t>
            </w:r>
          </w:p>
        </w:tc>
        <w:tc>
          <w:tcPr>
            <w:tcW w:w="4414" w:type="dxa"/>
            <w:vMerge/>
          </w:tcPr>
          <w:p w14:paraId="2D3D1847" w14:textId="77777777" w:rsidR="00FE48EB" w:rsidRDefault="00FE48EB" w:rsidP="00001F21">
            <w:pPr>
              <w:rPr>
                <w:color w:val="00B050"/>
                <w:sz w:val="18"/>
                <w:szCs w:val="18"/>
              </w:rPr>
            </w:pPr>
          </w:p>
        </w:tc>
      </w:tr>
      <w:tr w:rsidR="00FE48EB" w14:paraId="38B6B15D" w14:textId="77777777" w:rsidTr="00451BBE">
        <w:tc>
          <w:tcPr>
            <w:tcW w:w="4414" w:type="dxa"/>
          </w:tcPr>
          <w:p w14:paraId="583D1455" w14:textId="77777777" w:rsidR="00FE48EB" w:rsidRPr="00EC25F3" w:rsidRDefault="00FE48EB" w:rsidP="00EC25F3">
            <w:pPr>
              <w:rPr>
                <w:sz w:val="18"/>
                <w:szCs w:val="18"/>
              </w:rPr>
            </w:pPr>
            <w:r w:rsidRPr="00EC25F3">
              <w:rPr>
                <w:sz w:val="18"/>
                <w:szCs w:val="18"/>
              </w:rPr>
              <w:t xml:space="preserve">En </w:t>
            </w:r>
            <w:proofErr w:type="gramStart"/>
            <w:r w:rsidRPr="00EC25F3">
              <w:rPr>
                <w:sz w:val="18"/>
                <w:szCs w:val="18"/>
              </w:rPr>
              <w:t>niños y niñas</w:t>
            </w:r>
            <w:proofErr w:type="gramEnd"/>
            <w:r w:rsidRPr="00EC25F3">
              <w:rPr>
                <w:sz w:val="18"/>
                <w:szCs w:val="18"/>
              </w:rPr>
              <w:t xml:space="preserve"> mayores</w:t>
            </w:r>
          </w:p>
          <w:p w14:paraId="3A41E343" w14:textId="77777777" w:rsidR="00FE48EB" w:rsidRPr="00EC25F3" w:rsidRDefault="00FE48EB" w:rsidP="00EC25F3">
            <w:pPr>
              <w:rPr>
                <w:sz w:val="18"/>
                <w:szCs w:val="18"/>
              </w:rPr>
            </w:pPr>
            <w:r w:rsidRPr="00EC25F3">
              <w:rPr>
                <w:sz w:val="18"/>
                <w:szCs w:val="18"/>
              </w:rPr>
              <w:t>de 3 años se recomienda</w:t>
            </w:r>
          </w:p>
          <w:p w14:paraId="4BB8FD1A" w14:textId="0CB847C7" w:rsidR="00FE48EB" w:rsidRPr="00EC25F3" w:rsidRDefault="00FE48EB" w:rsidP="00EC25F3">
            <w:pPr>
              <w:rPr>
                <w:sz w:val="18"/>
                <w:szCs w:val="18"/>
              </w:rPr>
            </w:pPr>
            <w:r w:rsidRPr="00EC25F3">
              <w:rPr>
                <w:sz w:val="18"/>
                <w:szCs w:val="18"/>
              </w:rPr>
              <w:t xml:space="preserve">tabletas masticables de </w:t>
            </w:r>
            <w:proofErr w:type="spellStart"/>
            <w:r w:rsidRPr="00EC25F3">
              <w:rPr>
                <w:sz w:val="18"/>
                <w:szCs w:val="18"/>
              </w:rPr>
              <w:t>LPVrtv</w:t>
            </w:r>
            <w:proofErr w:type="spellEnd"/>
            <w:r w:rsidRPr="00EC25F3">
              <w:rPr>
                <w:sz w:val="18"/>
                <w:szCs w:val="18"/>
              </w:rPr>
              <w:t>.</w:t>
            </w:r>
          </w:p>
        </w:tc>
        <w:tc>
          <w:tcPr>
            <w:tcW w:w="4414" w:type="dxa"/>
            <w:vMerge/>
          </w:tcPr>
          <w:p w14:paraId="12D2B6AC" w14:textId="77777777" w:rsidR="00FE48EB" w:rsidRDefault="00FE48EB" w:rsidP="00001F21">
            <w:pPr>
              <w:rPr>
                <w:color w:val="00B050"/>
                <w:sz w:val="18"/>
                <w:szCs w:val="18"/>
              </w:rPr>
            </w:pPr>
          </w:p>
        </w:tc>
      </w:tr>
      <w:tr w:rsidR="00FE48EB" w14:paraId="149DE509" w14:textId="77777777" w:rsidTr="00451BBE">
        <w:tc>
          <w:tcPr>
            <w:tcW w:w="4414" w:type="dxa"/>
          </w:tcPr>
          <w:p w14:paraId="0417E5DA" w14:textId="77777777" w:rsidR="00FE48EB" w:rsidRPr="00EC25F3" w:rsidRDefault="00FE48EB" w:rsidP="00EC25F3">
            <w:pPr>
              <w:rPr>
                <w:sz w:val="18"/>
                <w:szCs w:val="18"/>
              </w:rPr>
            </w:pPr>
            <w:r w:rsidRPr="00EC25F3">
              <w:rPr>
                <w:sz w:val="18"/>
                <w:szCs w:val="18"/>
              </w:rPr>
              <w:t>En caso de anemia o</w:t>
            </w:r>
          </w:p>
          <w:p w14:paraId="23D9A1F5" w14:textId="77777777" w:rsidR="00FE48EB" w:rsidRPr="00EC25F3" w:rsidRDefault="00FE48EB" w:rsidP="00EC25F3">
            <w:pPr>
              <w:rPr>
                <w:sz w:val="18"/>
                <w:szCs w:val="18"/>
              </w:rPr>
            </w:pPr>
            <w:r w:rsidRPr="00EC25F3">
              <w:rPr>
                <w:sz w:val="18"/>
                <w:szCs w:val="18"/>
              </w:rPr>
              <w:t>intolerancia al</w:t>
            </w:r>
          </w:p>
          <w:p w14:paraId="6F26EB99" w14:textId="77777777" w:rsidR="00FE48EB" w:rsidRPr="00EC25F3" w:rsidRDefault="00FE48EB" w:rsidP="00EC25F3">
            <w:pPr>
              <w:rPr>
                <w:sz w:val="18"/>
                <w:szCs w:val="18"/>
              </w:rPr>
            </w:pPr>
            <w:r w:rsidRPr="00EC25F3">
              <w:rPr>
                <w:sz w:val="18"/>
                <w:szCs w:val="18"/>
              </w:rPr>
              <w:t>Lopinavir/Ritonavir/: se</w:t>
            </w:r>
          </w:p>
          <w:p w14:paraId="4329443E" w14:textId="77777777" w:rsidR="00FE48EB" w:rsidRPr="00EC25F3" w:rsidRDefault="00FE48EB" w:rsidP="00EC25F3">
            <w:pPr>
              <w:rPr>
                <w:sz w:val="18"/>
                <w:szCs w:val="18"/>
              </w:rPr>
            </w:pPr>
            <w:r w:rsidRPr="00EC25F3">
              <w:rPr>
                <w:sz w:val="18"/>
                <w:szCs w:val="18"/>
              </w:rPr>
              <w:t>debe cambiar Zidovudina por</w:t>
            </w:r>
          </w:p>
          <w:p w14:paraId="212BDB83" w14:textId="77777777" w:rsidR="00FE48EB" w:rsidRPr="00EC25F3" w:rsidRDefault="00FE48EB" w:rsidP="00EC25F3">
            <w:pPr>
              <w:rPr>
                <w:sz w:val="18"/>
                <w:szCs w:val="18"/>
              </w:rPr>
            </w:pPr>
            <w:r w:rsidRPr="00EC25F3">
              <w:rPr>
                <w:sz w:val="18"/>
                <w:szCs w:val="18"/>
              </w:rPr>
              <w:t>Abacavir. En niños</w:t>
            </w:r>
          </w:p>
          <w:p w14:paraId="2A90F407" w14:textId="77777777" w:rsidR="00FE48EB" w:rsidRPr="00EC25F3" w:rsidRDefault="00FE48EB" w:rsidP="00EC25F3">
            <w:pPr>
              <w:rPr>
                <w:sz w:val="18"/>
                <w:szCs w:val="18"/>
              </w:rPr>
            </w:pPr>
            <w:r w:rsidRPr="00EC25F3">
              <w:rPr>
                <w:sz w:val="18"/>
                <w:szCs w:val="18"/>
              </w:rPr>
              <w:t>de 3 años y menores de 13</w:t>
            </w:r>
          </w:p>
          <w:p w14:paraId="15EE764E" w14:textId="77777777" w:rsidR="00FE48EB" w:rsidRPr="00EC25F3" w:rsidRDefault="00FE48EB" w:rsidP="00EC25F3">
            <w:pPr>
              <w:rPr>
                <w:sz w:val="18"/>
                <w:szCs w:val="18"/>
              </w:rPr>
            </w:pPr>
            <w:r w:rsidRPr="00EC25F3">
              <w:rPr>
                <w:sz w:val="18"/>
                <w:szCs w:val="18"/>
              </w:rPr>
              <w:t>años, en caso de intolerancia</w:t>
            </w:r>
          </w:p>
          <w:p w14:paraId="783D45EE" w14:textId="77777777" w:rsidR="00FE48EB" w:rsidRPr="00EC25F3" w:rsidRDefault="00FE48EB" w:rsidP="00EC25F3">
            <w:pPr>
              <w:rPr>
                <w:sz w:val="18"/>
                <w:szCs w:val="18"/>
              </w:rPr>
            </w:pPr>
            <w:r w:rsidRPr="00EC25F3">
              <w:rPr>
                <w:sz w:val="18"/>
                <w:szCs w:val="18"/>
              </w:rPr>
              <w:t>a Lopinavir/Ritonavir, se</w:t>
            </w:r>
          </w:p>
          <w:p w14:paraId="61B0B31F" w14:textId="77777777" w:rsidR="00FE48EB" w:rsidRPr="00EC25F3" w:rsidRDefault="00FE48EB" w:rsidP="00EC25F3">
            <w:pPr>
              <w:rPr>
                <w:sz w:val="18"/>
                <w:szCs w:val="18"/>
              </w:rPr>
            </w:pPr>
            <w:r w:rsidRPr="00EC25F3">
              <w:rPr>
                <w:sz w:val="18"/>
                <w:szCs w:val="18"/>
              </w:rPr>
              <w:t>recomienda el uso de</w:t>
            </w:r>
          </w:p>
          <w:p w14:paraId="52D4893F" w14:textId="77777777" w:rsidR="00FE48EB" w:rsidRPr="00EC25F3" w:rsidRDefault="00FE48EB" w:rsidP="00EC25F3">
            <w:pPr>
              <w:rPr>
                <w:sz w:val="18"/>
                <w:szCs w:val="18"/>
              </w:rPr>
            </w:pPr>
            <w:proofErr w:type="spellStart"/>
            <w:r w:rsidRPr="00EC25F3">
              <w:rPr>
                <w:sz w:val="18"/>
                <w:szCs w:val="18"/>
              </w:rPr>
              <w:t>Raltegravir</w:t>
            </w:r>
            <w:proofErr w:type="spellEnd"/>
            <w:r w:rsidRPr="00EC25F3">
              <w:rPr>
                <w:sz w:val="18"/>
                <w:szCs w:val="18"/>
              </w:rPr>
              <w:t xml:space="preserve"> en tableas</w:t>
            </w:r>
          </w:p>
          <w:p w14:paraId="3E469825" w14:textId="3EA21FB0" w:rsidR="00FE48EB" w:rsidRPr="00EC25F3" w:rsidRDefault="00FE48EB" w:rsidP="00EC25F3">
            <w:pPr>
              <w:rPr>
                <w:sz w:val="18"/>
                <w:szCs w:val="18"/>
              </w:rPr>
            </w:pPr>
            <w:r w:rsidRPr="00EC25F3">
              <w:rPr>
                <w:sz w:val="18"/>
                <w:szCs w:val="18"/>
              </w:rPr>
              <w:t>masticables.</w:t>
            </w:r>
          </w:p>
        </w:tc>
        <w:tc>
          <w:tcPr>
            <w:tcW w:w="4414" w:type="dxa"/>
            <w:vMerge/>
          </w:tcPr>
          <w:p w14:paraId="35478AA0" w14:textId="77777777" w:rsidR="00FE48EB" w:rsidRDefault="00FE48EB" w:rsidP="00001F21">
            <w:pPr>
              <w:rPr>
                <w:color w:val="00B050"/>
                <w:sz w:val="18"/>
                <w:szCs w:val="18"/>
              </w:rPr>
            </w:pPr>
          </w:p>
        </w:tc>
      </w:tr>
      <w:tr w:rsidR="00C24B68" w14:paraId="619EAA82" w14:textId="77777777" w:rsidTr="00451BBE">
        <w:tc>
          <w:tcPr>
            <w:tcW w:w="8828" w:type="dxa"/>
            <w:gridSpan w:val="2"/>
          </w:tcPr>
          <w:p w14:paraId="405A41E4" w14:textId="6F853265" w:rsidR="00C24B68" w:rsidRDefault="00C24B68" w:rsidP="00C24B68">
            <w:pPr>
              <w:jc w:val="center"/>
              <w:rPr>
                <w:color w:val="00B050"/>
                <w:sz w:val="18"/>
                <w:szCs w:val="18"/>
              </w:rPr>
            </w:pPr>
            <w:r w:rsidRPr="00C24B68">
              <w:rPr>
                <w:b/>
                <w:bCs/>
                <w:sz w:val="18"/>
                <w:szCs w:val="18"/>
              </w:rPr>
              <w:t xml:space="preserve">Profilaxis </w:t>
            </w:r>
            <w:proofErr w:type="spellStart"/>
            <w:r w:rsidRPr="00C24B68">
              <w:rPr>
                <w:b/>
                <w:bCs/>
                <w:sz w:val="18"/>
                <w:szCs w:val="18"/>
              </w:rPr>
              <w:t>post-exposición</w:t>
            </w:r>
            <w:proofErr w:type="spellEnd"/>
            <w:r w:rsidRPr="00C24B68">
              <w:rPr>
                <w:b/>
                <w:bCs/>
                <w:sz w:val="18"/>
                <w:szCs w:val="18"/>
              </w:rPr>
              <w:t xml:space="preserve"> de las ITS</w:t>
            </w:r>
            <w:r w:rsidRPr="00C24B68">
              <w:rPr>
                <w:sz w:val="18"/>
                <w:szCs w:val="18"/>
              </w:rPr>
              <w:t>. Dosis únicas.</w:t>
            </w:r>
          </w:p>
        </w:tc>
      </w:tr>
      <w:tr w:rsidR="00FE48EB" w14:paraId="684E0B59" w14:textId="77777777" w:rsidTr="00451BBE">
        <w:tc>
          <w:tcPr>
            <w:tcW w:w="4414" w:type="dxa"/>
          </w:tcPr>
          <w:p w14:paraId="75B1F3DD" w14:textId="014CC97A" w:rsidR="00FE48EB" w:rsidRPr="00EC25F3" w:rsidRDefault="00C24B68" w:rsidP="00C24B68">
            <w:pPr>
              <w:jc w:val="center"/>
              <w:rPr>
                <w:sz w:val="18"/>
                <w:szCs w:val="18"/>
              </w:rPr>
            </w:pPr>
            <w:r w:rsidRPr="00C24B68">
              <w:rPr>
                <w:sz w:val="18"/>
                <w:szCs w:val="18"/>
              </w:rPr>
              <w:t>Medicamento</w:t>
            </w:r>
          </w:p>
        </w:tc>
        <w:tc>
          <w:tcPr>
            <w:tcW w:w="4414" w:type="dxa"/>
          </w:tcPr>
          <w:p w14:paraId="46E55DD8" w14:textId="2AA9662A" w:rsidR="00FE48EB" w:rsidRDefault="00C24B68" w:rsidP="00C24B68">
            <w:pPr>
              <w:jc w:val="center"/>
              <w:rPr>
                <w:color w:val="00B050"/>
                <w:sz w:val="18"/>
                <w:szCs w:val="18"/>
              </w:rPr>
            </w:pPr>
            <w:r w:rsidRPr="00C24B68">
              <w:rPr>
                <w:sz w:val="18"/>
                <w:szCs w:val="18"/>
              </w:rPr>
              <w:t>Presentación y dosis</w:t>
            </w:r>
          </w:p>
        </w:tc>
      </w:tr>
      <w:tr w:rsidR="00C24B68" w14:paraId="591894E5" w14:textId="77777777" w:rsidTr="00451BBE">
        <w:tc>
          <w:tcPr>
            <w:tcW w:w="4414" w:type="dxa"/>
          </w:tcPr>
          <w:p w14:paraId="121E1380" w14:textId="77777777" w:rsidR="00C24B68" w:rsidRPr="00C24B68" w:rsidRDefault="00C24B68" w:rsidP="00C24B68">
            <w:pPr>
              <w:rPr>
                <w:sz w:val="18"/>
                <w:szCs w:val="18"/>
              </w:rPr>
            </w:pPr>
            <w:r w:rsidRPr="00C24B68">
              <w:rPr>
                <w:sz w:val="18"/>
                <w:szCs w:val="18"/>
              </w:rPr>
              <w:t>Ceftriaxona 500 mg.</w:t>
            </w:r>
          </w:p>
          <w:p w14:paraId="26DED5A4" w14:textId="77777777" w:rsidR="00C24B68" w:rsidRPr="00C24B68" w:rsidRDefault="00C24B68" w:rsidP="00C24B68">
            <w:pPr>
              <w:rPr>
                <w:sz w:val="18"/>
                <w:szCs w:val="18"/>
              </w:rPr>
            </w:pPr>
            <w:r w:rsidRPr="00C24B68">
              <w:rPr>
                <w:sz w:val="18"/>
                <w:szCs w:val="18"/>
              </w:rPr>
              <w:t>- (1 ampolla)</w:t>
            </w:r>
          </w:p>
          <w:p w14:paraId="4DB6BAA3" w14:textId="77777777" w:rsidR="00C24B68" w:rsidRPr="00C24B68" w:rsidRDefault="00C24B68" w:rsidP="00C24B68">
            <w:pPr>
              <w:rPr>
                <w:sz w:val="18"/>
                <w:szCs w:val="18"/>
              </w:rPr>
            </w:pPr>
            <w:r w:rsidRPr="00C24B68">
              <w:rPr>
                <w:sz w:val="18"/>
                <w:szCs w:val="18"/>
              </w:rPr>
              <w:t>- +</w:t>
            </w:r>
          </w:p>
          <w:p w14:paraId="7622D2AF" w14:textId="77777777" w:rsidR="00C24B68" w:rsidRPr="00C24B68" w:rsidRDefault="00C24B68" w:rsidP="00C24B68">
            <w:pPr>
              <w:rPr>
                <w:sz w:val="18"/>
                <w:szCs w:val="18"/>
              </w:rPr>
            </w:pPr>
            <w:r w:rsidRPr="00C24B68">
              <w:rPr>
                <w:sz w:val="18"/>
                <w:szCs w:val="18"/>
              </w:rPr>
              <w:t>- Metronidazol 2 gr.</w:t>
            </w:r>
          </w:p>
          <w:p w14:paraId="30F96AC0" w14:textId="77777777" w:rsidR="00C24B68" w:rsidRPr="00C24B68" w:rsidRDefault="00C24B68" w:rsidP="00C24B68">
            <w:pPr>
              <w:rPr>
                <w:sz w:val="18"/>
                <w:szCs w:val="18"/>
              </w:rPr>
            </w:pPr>
            <w:r w:rsidRPr="00C24B68">
              <w:rPr>
                <w:sz w:val="18"/>
                <w:szCs w:val="18"/>
              </w:rPr>
              <w:t>- (4 tabletas)</w:t>
            </w:r>
          </w:p>
          <w:p w14:paraId="6B81263B" w14:textId="77777777" w:rsidR="00C24B68" w:rsidRPr="00C24B68" w:rsidRDefault="00C24B68" w:rsidP="00C24B68">
            <w:pPr>
              <w:rPr>
                <w:sz w:val="18"/>
                <w:szCs w:val="18"/>
              </w:rPr>
            </w:pPr>
            <w:r w:rsidRPr="00C24B68">
              <w:rPr>
                <w:sz w:val="18"/>
                <w:szCs w:val="18"/>
              </w:rPr>
              <w:t>- +</w:t>
            </w:r>
          </w:p>
          <w:p w14:paraId="54A4A782" w14:textId="77777777" w:rsidR="00C24B68" w:rsidRPr="00C24B68" w:rsidRDefault="00C24B68" w:rsidP="00C24B68">
            <w:pPr>
              <w:rPr>
                <w:sz w:val="18"/>
                <w:szCs w:val="18"/>
              </w:rPr>
            </w:pPr>
            <w:r w:rsidRPr="00C24B68">
              <w:rPr>
                <w:sz w:val="18"/>
                <w:szCs w:val="18"/>
              </w:rPr>
              <w:t>- Azitromicina 1 gr.</w:t>
            </w:r>
          </w:p>
          <w:p w14:paraId="61A959AD" w14:textId="4BBB0CA7" w:rsidR="00C24B68" w:rsidRPr="00EC25F3" w:rsidRDefault="00C24B68" w:rsidP="00C24B68">
            <w:pPr>
              <w:rPr>
                <w:sz w:val="18"/>
                <w:szCs w:val="18"/>
              </w:rPr>
            </w:pPr>
            <w:r w:rsidRPr="00C24B68">
              <w:rPr>
                <w:sz w:val="18"/>
                <w:szCs w:val="18"/>
              </w:rPr>
              <w:t>- (2 tabletas).</w:t>
            </w:r>
          </w:p>
        </w:tc>
        <w:tc>
          <w:tcPr>
            <w:tcW w:w="4414" w:type="dxa"/>
          </w:tcPr>
          <w:p w14:paraId="138D138C" w14:textId="77777777" w:rsidR="00C24B68" w:rsidRPr="00C24B68" w:rsidRDefault="00C24B68" w:rsidP="00C24B68">
            <w:pPr>
              <w:rPr>
                <w:sz w:val="18"/>
                <w:szCs w:val="18"/>
              </w:rPr>
            </w:pPr>
            <w:r w:rsidRPr="00C24B68">
              <w:rPr>
                <w:sz w:val="18"/>
                <w:szCs w:val="18"/>
              </w:rPr>
              <w:t xml:space="preserve">− </w:t>
            </w:r>
            <w:proofErr w:type="spellStart"/>
            <w:r w:rsidRPr="00C24B68">
              <w:rPr>
                <w:sz w:val="18"/>
                <w:szCs w:val="18"/>
              </w:rPr>
              <w:t>Ceftriazona</w:t>
            </w:r>
            <w:proofErr w:type="spellEnd"/>
            <w:r w:rsidRPr="00C24B68">
              <w:rPr>
                <w:sz w:val="18"/>
                <w:szCs w:val="18"/>
              </w:rPr>
              <w:t xml:space="preserve">: </w:t>
            </w:r>
            <w:proofErr w:type="spellStart"/>
            <w:r w:rsidRPr="00C24B68">
              <w:rPr>
                <w:sz w:val="18"/>
                <w:szCs w:val="18"/>
              </w:rPr>
              <w:t>Amp</w:t>
            </w:r>
            <w:proofErr w:type="spellEnd"/>
            <w:r w:rsidRPr="00C24B68">
              <w:rPr>
                <w:sz w:val="18"/>
                <w:szCs w:val="18"/>
              </w:rPr>
              <w:t xml:space="preserve"> 500 mg. En menores de 12 años 50mg/kg dosis única.</w:t>
            </w:r>
          </w:p>
          <w:p w14:paraId="26339D21" w14:textId="77777777" w:rsidR="00C24B68" w:rsidRPr="00C24B68" w:rsidRDefault="00C24B68" w:rsidP="00C24B68">
            <w:pPr>
              <w:rPr>
                <w:sz w:val="18"/>
                <w:szCs w:val="18"/>
              </w:rPr>
            </w:pPr>
            <w:r w:rsidRPr="00C24B68">
              <w:rPr>
                <w:sz w:val="18"/>
                <w:szCs w:val="18"/>
              </w:rPr>
              <w:t>Mayores de 12 años 1 ampolla dosis única</w:t>
            </w:r>
          </w:p>
          <w:p w14:paraId="251FC877" w14:textId="77777777" w:rsidR="00C24B68" w:rsidRPr="00C24B68" w:rsidRDefault="00C24B68" w:rsidP="00C24B68">
            <w:pPr>
              <w:rPr>
                <w:sz w:val="18"/>
                <w:szCs w:val="18"/>
              </w:rPr>
            </w:pPr>
            <w:r w:rsidRPr="00C24B68">
              <w:rPr>
                <w:sz w:val="18"/>
                <w:szCs w:val="18"/>
              </w:rPr>
              <w:t>+</w:t>
            </w:r>
          </w:p>
          <w:p w14:paraId="4F5A5007" w14:textId="77777777" w:rsidR="00C24B68" w:rsidRPr="00C24B68" w:rsidRDefault="00C24B68" w:rsidP="00C24B68">
            <w:pPr>
              <w:rPr>
                <w:sz w:val="18"/>
                <w:szCs w:val="18"/>
              </w:rPr>
            </w:pPr>
            <w:r w:rsidRPr="00C24B68">
              <w:rPr>
                <w:sz w:val="18"/>
                <w:szCs w:val="18"/>
              </w:rPr>
              <w:t>− Metronidazol Suspensión 250mg x 5cc.,Fco.x120 ml. 20 mg/Kg dosis</w:t>
            </w:r>
          </w:p>
          <w:p w14:paraId="56BCEB5E" w14:textId="77777777" w:rsidR="00C24B68" w:rsidRPr="00C24B68" w:rsidRDefault="00C24B68" w:rsidP="00C24B68">
            <w:pPr>
              <w:rPr>
                <w:sz w:val="18"/>
                <w:szCs w:val="18"/>
              </w:rPr>
            </w:pPr>
            <w:r w:rsidRPr="00C24B68">
              <w:rPr>
                <w:sz w:val="18"/>
                <w:szCs w:val="18"/>
              </w:rPr>
              <w:t>única</w:t>
            </w:r>
          </w:p>
          <w:p w14:paraId="289E5249" w14:textId="77777777" w:rsidR="00C24B68" w:rsidRPr="00C24B68" w:rsidRDefault="00C24B68" w:rsidP="00C24B68">
            <w:pPr>
              <w:rPr>
                <w:sz w:val="18"/>
                <w:szCs w:val="18"/>
              </w:rPr>
            </w:pPr>
            <w:r w:rsidRPr="00C24B68">
              <w:rPr>
                <w:sz w:val="18"/>
                <w:szCs w:val="18"/>
              </w:rPr>
              <w:t>+</w:t>
            </w:r>
          </w:p>
          <w:p w14:paraId="38E23503" w14:textId="5CC78BE4" w:rsidR="00C24B68" w:rsidRPr="00C24B68" w:rsidRDefault="00C24B68" w:rsidP="00C24B68">
            <w:pPr>
              <w:rPr>
                <w:sz w:val="18"/>
                <w:szCs w:val="18"/>
              </w:rPr>
            </w:pPr>
            <w:r w:rsidRPr="00C24B68">
              <w:rPr>
                <w:sz w:val="18"/>
                <w:szCs w:val="18"/>
              </w:rPr>
              <w:t>− Azitromicina Suspensión 200mg x 5cc., Fco.x15ml. 10 mg/Kg dosis única.</w:t>
            </w:r>
          </w:p>
        </w:tc>
      </w:tr>
    </w:tbl>
    <w:p w14:paraId="3F54E3D1" w14:textId="6E4E8DB4" w:rsidR="00001F21" w:rsidRDefault="00001F21" w:rsidP="00001F21">
      <w:pPr>
        <w:rPr>
          <w:color w:val="00B050"/>
          <w:sz w:val="18"/>
          <w:szCs w:val="18"/>
        </w:rPr>
      </w:pPr>
    </w:p>
    <w:p w14:paraId="569F3776" w14:textId="0796ED96" w:rsidR="00C24B68" w:rsidRPr="009B138C" w:rsidRDefault="00C24B68" w:rsidP="00C24B68">
      <w:pPr>
        <w:rPr>
          <w:b/>
          <w:bCs/>
        </w:rPr>
      </w:pPr>
      <w:r w:rsidRPr="009B138C">
        <w:rPr>
          <w:b/>
          <w:bCs/>
        </w:rPr>
        <w:t>Tabla 8. Resumen de efectos secundarios de los ARV recomendados para la PPE en menores de 13 años. 15</w:t>
      </w:r>
    </w:p>
    <w:p w14:paraId="4425508F" w14:textId="33DB8B47" w:rsidR="00607DC9" w:rsidRPr="00607DC9" w:rsidRDefault="00607DC9" w:rsidP="00607DC9">
      <w:pPr>
        <w:rPr>
          <w:sz w:val="18"/>
          <w:szCs w:val="18"/>
        </w:rPr>
      </w:pPr>
      <w:r w:rsidRPr="00607DC9">
        <w:rPr>
          <w:sz w:val="18"/>
          <w:szCs w:val="18"/>
        </w:rPr>
        <w:t>15 Colombia, Ministerio de Salud y Protección Social Guía de práctica clínica basada en la evidencia científica para la atención de la infección por</w:t>
      </w:r>
      <w:r>
        <w:rPr>
          <w:sz w:val="18"/>
          <w:szCs w:val="18"/>
        </w:rPr>
        <w:t xml:space="preserve"> </w:t>
      </w:r>
      <w:r w:rsidRPr="00607DC9">
        <w:rPr>
          <w:sz w:val="18"/>
          <w:szCs w:val="18"/>
        </w:rPr>
        <w:t xml:space="preserve">VIH/Sida en adolescentes (con 13 </w:t>
      </w:r>
      <w:proofErr w:type="gramStart"/>
      <w:r w:rsidRPr="00607DC9">
        <w:rPr>
          <w:sz w:val="18"/>
          <w:szCs w:val="18"/>
        </w:rPr>
        <w:t>años de edad</w:t>
      </w:r>
      <w:proofErr w:type="gramEnd"/>
      <w:r w:rsidRPr="00607DC9">
        <w:rPr>
          <w:sz w:val="18"/>
          <w:szCs w:val="18"/>
        </w:rPr>
        <w:t xml:space="preserve"> o más) y adultos./ GPC-2014-39</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3"/>
        <w:gridCol w:w="2203"/>
        <w:gridCol w:w="2199"/>
        <w:gridCol w:w="2203"/>
      </w:tblGrid>
      <w:tr w:rsidR="00C24B68" w14:paraId="44E3C778" w14:textId="77777777" w:rsidTr="00451BBE">
        <w:tc>
          <w:tcPr>
            <w:tcW w:w="2207" w:type="dxa"/>
            <w:shd w:val="clear" w:color="auto" w:fill="AEAAAA" w:themeFill="background2" w:themeFillShade="BF"/>
          </w:tcPr>
          <w:p w14:paraId="4514C5A3" w14:textId="77777777" w:rsidR="00C24B68" w:rsidRDefault="00C24B68" w:rsidP="00DC0712">
            <w:pPr>
              <w:jc w:val="center"/>
              <w:rPr>
                <w:b/>
                <w:bCs/>
                <w:sz w:val="20"/>
                <w:szCs w:val="20"/>
              </w:rPr>
            </w:pPr>
          </w:p>
        </w:tc>
        <w:tc>
          <w:tcPr>
            <w:tcW w:w="2207" w:type="dxa"/>
            <w:shd w:val="clear" w:color="auto" w:fill="AEAAAA" w:themeFill="background2" w:themeFillShade="BF"/>
          </w:tcPr>
          <w:p w14:paraId="48EEC7A5" w14:textId="3786CA30" w:rsidR="00C24B68" w:rsidRDefault="00C24B68" w:rsidP="00DC0712">
            <w:pPr>
              <w:jc w:val="center"/>
              <w:rPr>
                <w:b/>
                <w:bCs/>
                <w:sz w:val="20"/>
                <w:szCs w:val="20"/>
              </w:rPr>
            </w:pPr>
            <w:r w:rsidRPr="00C24B68">
              <w:rPr>
                <w:b/>
                <w:bCs/>
                <w:sz w:val="20"/>
                <w:szCs w:val="20"/>
              </w:rPr>
              <w:t>EFECTOS SECUNDARIOS</w:t>
            </w:r>
          </w:p>
        </w:tc>
        <w:tc>
          <w:tcPr>
            <w:tcW w:w="2207" w:type="dxa"/>
            <w:shd w:val="clear" w:color="auto" w:fill="AEAAAA" w:themeFill="background2" w:themeFillShade="BF"/>
          </w:tcPr>
          <w:p w14:paraId="0B6DDF15" w14:textId="1B58494B" w:rsidR="00C24B68" w:rsidRDefault="00C24B68" w:rsidP="00DC0712">
            <w:pPr>
              <w:jc w:val="center"/>
              <w:rPr>
                <w:b/>
                <w:bCs/>
                <w:sz w:val="20"/>
                <w:szCs w:val="20"/>
              </w:rPr>
            </w:pPr>
            <w:r w:rsidRPr="00C24B68">
              <w:rPr>
                <w:b/>
                <w:bCs/>
                <w:sz w:val="20"/>
                <w:szCs w:val="20"/>
              </w:rPr>
              <w:t>FACTORES DE RIESGO</w:t>
            </w:r>
          </w:p>
        </w:tc>
        <w:tc>
          <w:tcPr>
            <w:tcW w:w="2207" w:type="dxa"/>
            <w:shd w:val="clear" w:color="auto" w:fill="AEAAAA" w:themeFill="background2" w:themeFillShade="BF"/>
          </w:tcPr>
          <w:p w14:paraId="1113EFD0" w14:textId="1D0D3341" w:rsidR="00C24B68" w:rsidRDefault="00C24B68" w:rsidP="00DC0712">
            <w:pPr>
              <w:jc w:val="center"/>
              <w:rPr>
                <w:b/>
                <w:bCs/>
                <w:sz w:val="20"/>
                <w:szCs w:val="20"/>
              </w:rPr>
            </w:pPr>
            <w:r>
              <w:rPr>
                <w:rFonts w:ascii="Arial-BoldMT" w:hAnsi="Arial-BoldMT" w:cs="Arial-BoldMT"/>
                <w:b/>
                <w:bCs/>
                <w:sz w:val="18"/>
                <w:szCs w:val="18"/>
              </w:rPr>
              <w:t>RECOMENDACIÓN</w:t>
            </w:r>
          </w:p>
        </w:tc>
      </w:tr>
      <w:tr w:rsidR="003A220E" w14:paraId="3838498C" w14:textId="77777777" w:rsidTr="00451BBE">
        <w:tc>
          <w:tcPr>
            <w:tcW w:w="2207" w:type="dxa"/>
            <w:vMerge w:val="restart"/>
            <w:shd w:val="clear" w:color="auto" w:fill="AEAAAA" w:themeFill="background2" w:themeFillShade="BF"/>
          </w:tcPr>
          <w:p w14:paraId="460BA08B" w14:textId="77777777" w:rsidR="003A220E" w:rsidRDefault="003A220E" w:rsidP="003A220E">
            <w:pPr>
              <w:jc w:val="center"/>
              <w:rPr>
                <w:rFonts w:cstheme="minorHAnsi"/>
                <w:b/>
                <w:bCs/>
                <w:sz w:val="18"/>
                <w:szCs w:val="18"/>
              </w:rPr>
            </w:pPr>
          </w:p>
          <w:p w14:paraId="68372443" w14:textId="77777777" w:rsidR="003A220E" w:rsidRDefault="003A220E" w:rsidP="003A220E">
            <w:pPr>
              <w:jc w:val="center"/>
              <w:rPr>
                <w:rFonts w:cstheme="minorHAnsi"/>
                <w:b/>
                <w:bCs/>
                <w:sz w:val="18"/>
                <w:szCs w:val="18"/>
              </w:rPr>
            </w:pPr>
          </w:p>
          <w:p w14:paraId="3D5B0B8A" w14:textId="77777777" w:rsidR="003A220E" w:rsidRDefault="003A220E" w:rsidP="003A220E">
            <w:pPr>
              <w:jc w:val="center"/>
              <w:rPr>
                <w:rFonts w:cstheme="minorHAnsi"/>
                <w:b/>
                <w:bCs/>
                <w:sz w:val="18"/>
                <w:szCs w:val="18"/>
              </w:rPr>
            </w:pPr>
          </w:p>
          <w:p w14:paraId="06DCE8F7" w14:textId="77777777" w:rsidR="003A220E" w:rsidRDefault="003A220E" w:rsidP="003A220E">
            <w:pPr>
              <w:jc w:val="center"/>
              <w:rPr>
                <w:rFonts w:cstheme="minorHAnsi"/>
                <w:b/>
                <w:bCs/>
                <w:sz w:val="18"/>
                <w:szCs w:val="18"/>
              </w:rPr>
            </w:pPr>
          </w:p>
          <w:p w14:paraId="71681651" w14:textId="63E1F05E" w:rsidR="003A220E" w:rsidRPr="00C24B68" w:rsidRDefault="003A220E" w:rsidP="003A220E">
            <w:pPr>
              <w:jc w:val="center"/>
              <w:rPr>
                <w:rFonts w:cstheme="minorHAnsi"/>
                <w:b/>
                <w:bCs/>
                <w:sz w:val="20"/>
                <w:szCs w:val="20"/>
              </w:rPr>
            </w:pPr>
            <w:r w:rsidRPr="00C24B68">
              <w:rPr>
                <w:rFonts w:cstheme="minorHAnsi"/>
                <w:b/>
                <w:bCs/>
                <w:sz w:val="18"/>
                <w:szCs w:val="18"/>
              </w:rPr>
              <w:t>Abacavir (ABC)</w:t>
            </w:r>
          </w:p>
        </w:tc>
        <w:tc>
          <w:tcPr>
            <w:tcW w:w="2207" w:type="dxa"/>
          </w:tcPr>
          <w:p w14:paraId="415882BF" w14:textId="77777777" w:rsidR="003A220E" w:rsidRPr="003A220E" w:rsidRDefault="003A220E" w:rsidP="003A220E">
            <w:pPr>
              <w:rPr>
                <w:sz w:val="20"/>
                <w:szCs w:val="20"/>
              </w:rPr>
            </w:pPr>
            <w:r w:rsidRPr="003A220E">
              <w:rPr>
                <w:sz w:val="20"/>
                <w:szCs w:val="20"/>
              </w:rPr>
              <w:t>Reacción de hipersensibilidad</w:t>
            </w:r>
          </w:p>
          <w:p w14:paraId="7B9CA5F6" w14:textId="77777777" w:rsidR="003A220E" w:rsidRPr="003A220E" w:rsidRDefault="003A220E" w:rsidP="003A220E">
            <w:pPr>
              <w:rPr>
                <w:sz w:val="20"/>
                <w:szCs w:val="20"/>
              </w:rPr>
            </w:pPr>
            <w:r w:rsidRPr="003A220E">
              <w:rPr>
                <w:sz w:val="20"/>
                <w:szCs w:val="20"/>
              </w:rPr>
              <w:t>(exantema), náuseas o diarrea</w:t>
            </w:r>
          </w:p>
          <w:p w14:paraId="412D0575" w14:textId="4397C0A2" w:rsidR="003A220E" w:rsidRPr="003A220E" w:rsidRDefault="003A220E" w:rsidP="003A220E">
            <w:pPr>
              <w:rPr>
                <w:sz w:val="20"/>
                <w:szCs w:val="20"/>
              </w:rPr>
            </w:pPr>
            <w:r w:rsidRPr="003A220E">
              <w:rPr>
                <w:sz w:val="20"/>
                <w:szCs w:val="20"/>
              </w:rPr>
              <w:t>(raras)</w:t>
            </w:r>
          </w:p>
        </w:tc>
        <w:tc>
          <w:tcPr>
            <w:tcW w:w="2207" w:type="dxa"/>
          </w:tcPr>
          <w:p w14:paraId="77371FDC" w14:textId="73BC27C6" w:rsidR="003A220E" w:rsidRPr="003A220E" w:rsidRDefault="003A220E" w:rsidP="00C24B68">
            <w:pPr>
              <w:rPr>
                <w:sz w:val="20"/>
                <w:szCs w:val="20"/>
              </w:rPr>
            </w:pPr>
            <w:r w:rsidRPr="003A220E">
              <w:rPr>
                <w:sz w:val="20"/>
                <w:szCs w:val="20"/>
              </w:rPr>
              <w:t>Presencia de HLA-B*5701</w:t>
            </w:r>
          </w:p>
        </w:tc>
        <w:tc>
          <w:tcPr>
            <w:tcW w:w="2207" w:type="dxa"/>
          </w:tcPr>
          <w:p w14:paraId="05526F14" w14:textId="77777777" w:rsidR="003A220E" w:rsidRPr="003A220E" w:rsidRDefault="003A220E" w:rsidP="003A220E">
            <w:pPr>
              <w:rPr>
                <w:sz w:val="20"/>
                <w:szCs w:val="20"/>
              </w:rPr>
            </w:pPr>
            <w:r w:rsidRPr="003A220E">
              <w:rPr>
                <w:sz w:val="20"/>
                <w:szCs w:val="20"/>
              </w:rPr>
              <w:t>Contraindicado en</w:t>
            </w:r>
          </w:p>
          <w:p w14:paraId="467C11E1" w14:textId="77777777" w:rsidR="003A220E" w:rsidRPr="003A220E" w:rsidRDefault="003A220E" w:rsidP="003A220E">
            <w:pPr>
              <w:rPr>
                <w:sz w:val="20"/>
                <w:szCs w:val="20"/>
              </w:rPr>
            </w:pPr>
            <w:r w:rsidRPr="003A220E">
              <w:rPr>
                <w:sz w:val="20"/>
                <w:szCs w:val="20"/>
              </w:rPr>
              <w:t>pacientes con HLAB*</w:t>
            </w:r>
          </w:p>
          <w:p w14:paraId="20C6C6BF" w14:textId="77777777" w:rsidR="003A220E" w:rsidRPr="003A220E" w:rsidRDefault="003A220E" w:rsidP="003A220E">
            <w:pPr>
              <w:rPr>
                <w:sz w:val="20"/>
                <w:szCs w:val="20"/>
              </w:rPr>
            </w:pPr>
            <w:r w:rsidRPr="003A220E">
              <w:rPr>
                <w:sz w:val="20"/>
                <w:szCs w:val="20"/>
              </w:rPr>
              <w:t>5701 positivo.</w:t>
            </w:r>
          </w:p>
          <w:p w14:paraId="18CE2A45" w14:textId="04C35758" w:rsidR="003A220E" w:rsidRPr="003A220E" w:rsidRDefault="003A220E" w:rsidP="003A220E">
            <w:pPr>
              <w:rPr>
                <w:sz w:val="20"/>
                <w:szCs w:val="20"/>
              </w:rPr>
            </w:pPr>
            <w:r w:rsidRPr="003A220E">
              <w:rPr>
                <w:sz w:val="20"/>
                <w:szCs w:val="20"/>
              </w:rPr>
              <w:t>Sustituir con otro INTR</w:t>
            </w:r>
          </w:p>
        </w:tc>
      </w:tr>
      <w:tr w:rsidR="003A220E" w14:paraId="19CAD736" w14:textId="77777777" w:rsidTr="00451BBE">
        <w:tc>
          <w:tcPr>
            <w:tcW w:w="2207" w:type="dxa"/>
            <w:vMerge/>
            <w:shd w:val="clear" w:color="auto" w:fill="AEAAAA" w:themeFill="background2" w:themeFillShade="BF"/>
          </w:tcPr>
          <w:p w14:paraId="34CDB589" w14:textId="77777777" w:rsidR="003A220E" w:rsidRPr="00C24B68" w:rsidRDefault="003A220E" w:rsidP="00C24B68">
            <w:pPr>
              <w:rPr>
                <w:rFonts w:cstheme="minorHAnsi"/>
                <w:b/>
                <w:bCs/>
                <w:sz w:val="18"/>
                <w:szCs w:val="18"/>
              </w:rPr>
            </w:pPr>
          </w:p>
        </w:tc>
        <w:tc>
          <w:tcPr>
            <w:tcW w:w="2207" w:type="dxa"/>
          </w:tcPr>
          <w:p w14:paraId="52BA1C2A" w14:textId="5A0812EA" w:rsidR="003A220E" w:rsidRPr="003A220E" w:rsidRDefault="003A220E" w:rsidP="003A220E">
            <w:pPr>
              <w:rPr>
                <w:sz w:val="20"/>
                <w:szCs w:val="20"/>
              </w:rPr>
            </w:pPr>
            <w:r w:rsidRPr="003A220E">
              <w:rPr>
                <w:sz w:val="20"/>
                <w:szCs w:val="20"/>
              </w:rPr>
              <w:t>Incremento de enfermedad</w:t>
            </w:r>
            <w:r>
              <w:rPr>
                <w:sz w:val="20"/>
                <w:szCs w:val="20"/>
              </w:rPr>
              <w:t xml:space="preserve"> </w:t>
            </w:r>
            <w:r w:rsidRPr="003A220E">
              <w:rPr>
                <w:sz w:val="20"/>
                <w:szCs w:val="20"/>
              </w:rPr>
              <w:t>isquémica de miocardio en</w:t>
            </w:r>
            <w:r>
              <w:rPr>
                <w:sz w:val="20"/>
                <w:szCs w:val="20"/>
              </w:rPr>
              <w:t xml:space="preserve"> </w:t>
            </w:r>
            <w:r w:rsidRPr="003A220E">
              <w:rPr>
                <w:sz w:val="20"/>
                <w:szCs w:val="20"/>
              </w:rPr>
              <w:t>algunos estudios de cohortes</w:t>
            </w:r>
          </w:p>
        </w:tc>
        <w:tc>
          <w:tcPr>
            <w:tcW w:w="2207" w:type="dxa"/>
          </w:tcPr>
          <w:p w14:paraId="48D75777" w14:textId="2D1EC017" w:rsidR="003A220E" w:rsidRPr="003A220E" w:rsidRDefault="003A220E" w:rsidP="003A220E">
            <w:pPr>
              <w:rPr>
                <w:sz w:val="20"/>
                <w:szCs w:val="20"/>
              </w:rPr>
            </w:pPr>
            <w:r w:rsidRPr="003A220E">
              <w:rPr>
                <w:sz w:val="20"/>
                <w:szCs w:val="20"/>
              </w:rPr>
              <w:t>Riesgo mayor en pacientes con</w:t>
            </w:r>
            <w:r>
              <w:rPr>
                <w:sz w:val="20"/>
                <w:szCs w:val="20"/>
              </w:rPr>
              <w:t xml:space="preserve"> </w:t>
            </w:r>
            <w:r w:rsidRPr="003A220E">
              <w:rPr>
                <w:sz w:val="20"/>
                <w:szCs w:val="20"/>
              </w:rPr>
              <w:t>factores de riesgo</w:t>
            </w:r>
            <w:r>
              <w:rPr>
                <w:sz w:val="20"/>
                <w:szCs w:val="20"/>
              </w:rPr>
              <w:t xml:space="preserve"> </w:t>
            </w:r>
            <w:r w:rsidRPr="003A220E">
              <w:rPr>
                <w:sz w:val="20"/>
                <w:szCs w:val="20"/>
              </w:rPr>
              <w:t>cardiovascular,</w:t>
            </w:r>
            <w:r>
              <w:rPr>
                <w:sz w:val="20"/>
                <w:szCs w:val="20"/>
              </w:rPr>
              <w:t xml:space="preserve"> </w:t>
            </w:r>
            <w:r w:rsidRPr="003A220E">
              <w:rPr>
                <w:sz w:val="20"/>
                <w:szCs w:val="20"/>
              </w:rPr>
              <w:t>con puntaje de Framingham &gt;= 20.</w:t>
            </w:r>
          </w:p>
        </w:tc>
        <w:tc>
          <w:tcPr>
            <w:tcW w:w="2207" w:type="dxa"/>
          </w:tcPr>
          <w:p w14:paraId="70C3B1CB" w14:textId="77777777" w:rsidR="003A220E" w:rsidRPr="003A220E" w:rsidRDefault="003A220E" w:rsidP="003A220E">
            <w:pPr>
              <w:rPr>
                <w:sz w:val="20"/>
                <w:szCs w:val="20"/>
              </w:rPr>
            </w:pPr>
            <w:r w:rsidRPr="003A220E">
              <w:rPr>
                <w:sz w:val="20"/>
                <w:szCs w:val="20"/>
              </w:rPr>
              <w:t>Evaluar riesgo</w:t>
            </w:r>
          </w:p>
          <w:p w14:paraId="1E88B534" w14:textId="77777777" w:rsidR="003A220E" w:rsidRPr="003A220E" w:rsidRDefault="003A220E" w:rsidP="003A220E">
            <w:pPr>
              <w:rPr>
                <w:sz w:val="20"/>
                <w:szCs w:val="20"/>
              </w:rPr>
            </w:pPr>
            <w:r w:rsidRPr="003A220E">
              <w:rPr>
                <w:sz w:val="20"/>
                <w:szCs w:val="20"/>
              </w:rPr>
              <w:t>beneficio, poco</w:t>
            </w:r>
          </w:p>
          <w:p w14:paraId="084352C4" w14:textId="7D9C5A7D" w:rsidR="003A220E" w:rsidRPr="003A220E" w:rsidRDefault="003A220E" w:rsidP="003A220E">
            <w:pPr>
              <w:rPr>
                <w:sz w:val="20"/>
                <w:szCs w:val="20"/>
              </w:rPr>
            </w:pPr>
            <w:r w:rsidRPr="003A220E">
              <w:rPr>
                <w:sz w:val="20"/>
                <w:szCs w:val="20"/>
              </w:rPr>
              <w:t>frecuente en niños.</w:t>
            </w:r>
          </w:p>
        </w:tc>
      </w:tr>
      <w:tr w:rsidR="00C24B68" w14:paraId="4330716F" w14:textId="77777777" w:rsidTr="00451BBE">
        <w:tc>
          <w:tcPr>
            <w:tcW w:w="2207" w:type="dxa"/>
            <w:shd w:val="clear" w:color="auto" w:fill="AEAAAA" w:themeFill="background2" w:themeFillShade="BF"/>
          </w:tcPr>
          <w:p w14:paraId="626A4757" w14:textId="5FC639DC" w:rsidR="00C24B68" w:rsidRDefault="00C24B68" w:rsidP="00C24B68">
            <w:pPr>
              <w:rPr>
                <w:b/>
                <w:bCs/>
                <w:sz w:val="20"/>
                <w:szCs w:val="20"/>
              </w:rPr>
            </w:pPr>
            <w:proofErr w:type="spellStart"/>
            <w:r w:rsidRPr="00C24B68">
              <w:rPr>
                <w:b/>
                <w:bCs/>
                <w:sz w:val="20"/>
                <w:szCs w:val="20"/>
              </w:rPr>
              <w:t>Lamivudina</w:t>
            </w:r>
            <w:proofErr w:type="spellEnd"/>
            <w:r w:rsidRPr="00C24B68">
              <w:rPr>
                <w:b/>
                <w:bCs/>
                <w:sz w:val="20"/>
                <w:szCs w:val="20"/>
              </w:rPr>
              <w:t xml:space="preserve"> (3TC)</w:t>
            </w:r>
          </w:p>
        </w:tc>
        <w:tc>
          <w:tcPr>
            <w:tcW w:w="2207" w:type="dxa"/>
          </w:tcPr>
          <w:p w14:paraId="223FB963" w14:textId="0D88FF81" w:rsidR="00C24B68" w:rsidRPr="003A220E" w:rsidRDefault="003A220E" w:rsidP="003A220E">
            <w:pPr>
              <w:rPr>
                <w:sz w:val="20"/>
                <w:szCs w:val="20"/>
              </w:rPr>
            </w:pPr>
            <w:r w:rsidRPr="003A220E">
              <w:rPr>
                <w:sz w:val="20"/>
                <w:szCs w:val="20"/>
              </w:rPr>
              <w:t>Raramente produce efectos</w:t>
            </w:r>
            <w:r>
              <w:rPr>
                <w:sz w:val="20"/>
                <w:szCs w:val="20"/>
              </w:rPr>
              <w:t xml:space="preserve"> </w:t>
            </w:r>
            <w:r w:rsidRPr="003A220E">
              <w:rPr>
                <w:sz w:val="20"/>
                <w:szCs w:val="20"/>
              </w:rPr>
              <w:t>secundarios</w:t>
            </w:r>
          </w:p>
        </w:tc>
        <w:tc>
          <w:tcPr>
            <w:tcW w:w="2207" w:type="dxa"/>
          </w:tcPr>
          <w:p w14:paraId="01B7CA35" w14:textId="77777777" w:rsidR="00C24B68" w:rsidRDefault="00C24B68" w:rsidP="00C24B68">
            <w:pPr>
              <w:rPr>
                <w:b/>
                <w:bCs/>
                <w:sz w:val="20"/>
                <w:szCs w:val="20"/>
              </w:rPr>
            </w:pPr>
          </w:p>
        </w:tc>
        <w:tc>
          <w:tcPr>
            <w:tcW w:w="2207" w:type="dxa"/>
          </w:tcPr>
          <w:p w14:paraId="02D5126C" w14:textId="77777777" w:rsidR="00C24B68" w:rsidRDefault="00C24B68" w:rsidP="00C24B68">
            <w:pPr>
              <w:rPr>
                <w:b/>
                <w:bCs/>
                <w:sz w:val="20"/>
                <w:szCs w:val="20"/>
              </w:rPr>
            </w:pPr>
          </w:p>
        </w:tc>
      </w:tr>
      <w:tr w:rsidR="003A220E" w14:paraId="15BEA263" w14:textId="77777777" w:rsidTr="00451BBE">
        <w:tc>
          <w:tcPr>
            <w:tcW w:w="2207" w:type="dxa"/>
            <w:vMerge w:val="restart"/>
            <w:shd w:val="clear" w:color="auto" w:fill="AEAAAA" w:themeFill="background2" w:themeFillShade="BF"/>
          </w:tcPr>
          <w:p w14:paraId="759E8167" w14:textId="77777777" w:rsidR="003A220E" w:rsidRDefault="003A220E" w:rsidP="003A220E">
            <w:pPr>
              <w:jc w:val="center"/>
              <w:rPr>
                <w:b/>
                <w:bCs/>
                <w:sz w:val="20"/>
                <w:szCs w:val="20"/>
              </w:rPr>
            </w:pPr>
          </w:p>
          <w:p w14:paraId="6FEDA7E1" w14:textId="64965096" w:rsidR="003A220E" w:rsidRPr="00C24B68" w:rsidRDefault="003A220E" w:rsidP="003A220E">
            <w:pPr>
              <w:jc w:val="center"/>
              <w:rPr>
                <w:b/>
                <w:bCs/>
                <w:sz w:val="20"/>
                <w:szCs w:val="20"/>
              </w:rPr>
            </w:pPr>
            <w:r w:rsidRPr="00C24B68">
              <w:rPr>
                <w:b/>
                <w:bCs/>
                <w:sz w:val="20"/>
                <w:szCs w:val="20"/>
              </w:rPr>
              <w:t>Lopinavir/ritonavir</w:t>
            </w:r>
          </w:p>
          <w:p w14:paraId="347C82A4" w14:textId="0B4E4E57" w:rsidR="003A220E" w:rsidRDefault="003A220E" w:rsidP="003A220E">
            <w:pPr>
              <w:jc w:val="center"/>
              <w:rPr>
                <w:b/>
                <w:bCs/>
                <w:sz w:val="20"/>
                <w:szCs w:val="20"/>
              </w:rPr>
            </w:pPr>
            <w:r w:rsidRPr="00C24B68">
              <w:rPr>
                <w:b/>
                <w:bCs/>
                <w:sz w:val="20"/>
                <w:szCs w:val="20"/>
              </w:rPr>
              <w:t>(LPV/r)</w:t>
            </w:r>
          </w:p>
        </w:tc>
        <w:tc>
          <w:tcPr>
            <w:tcW w:w="2207" w:type="dxa"/>
          </w:tcPr>
          <w:p w14:paraId="08A08437" w14:textId="77777777" w:rsidR="00094EAD" w:rsidRPr="00094EAD" w:rsidRDefault="00094EAD" w:rsidP="00094EAD">
            <w:pPr>
              <w:rPr>
                <w:sz w:val="20"/>
                <w:szCs w:val="20"/>
              </w:rPr>
            </w:pPr>
            <w:r w:rsidRPr="00094EAD">
              <w:rPr>
                <w:sz w:val="20"/>
                <w:szCs w:val="20"/>
              </w:rPr>
              <w:t>Anormalidades del</w:t>
            </w:r>
          </w:p>
          <w:p w14:paraId="10FCDA5F" w14:textId="77777777" w:rsidR="00094EAD" w:rsidRPr="00094EAD" w:rsidRDefault="00094EAD" w:rsidP="00094EAD">
            <w:pPr>
              <w:rPr>
                <w:sz w:val="20"/>
                <w:szCs w:val="20"/>
              </w:rPr>
            </w:pPr>
            <w:r w:rsidRPr="00094EAD">
              <w:rPr>
                <w:sz w:val="20"/>
                <w:szCs w:val="20"/>
              </w:rPr>
              <w:t>electrocardiograma con</w:t>
            </w:r>
          </w:p>
          <w:p w14:paraId="27AC9F2D" w14:textId="18C149AF" w:rsidR="003A220E" w:rsidRPr="00094EAD" w:rsidRDefault="00094EAD" w:rsidP="00094EAD">
            <w:pPr>
              <w:rPr>
                <w:sz w:val="20"/>
                <w:szCs w:val="20"/>
              </w:rPr>
            </w:pPr>
            <w:r w:rsidRPr="00094EAD">
              <w:rPr>
                <w:sz w:val="20"/>
                <w:szCs w:val="20"/>
              </w:rPr>
              <w:t>prolongación del PR y</w:t>
            </w:r>
            <w:r>
              <w:rPr>
                <w:sz w:val="20"/>
                <w:szCs w:val="20"/>
              </w:rPr>
              <w:t xml:space="preserve"> </w:t>
            </w:r>
            <w:r w:rsidRPr="00094EAD">
              <w:rPr>
                <w:sz w:val="20"/>
                <w:szCs w:val="20"/>
              </w:rPr>
              <w:t>QT,</w:t>
            </w:r>
            <w:r>
              <w:rPr>
                <w:sz w:val="20"/>
                <w:szCs w:val="20"/>
              </w:rPr>
              <w:t xml:space="preserve"> </w:t>
            </w:r>
            <w:proofErr w:type="spellStart"/>
            <w:r w:rsidRPr="00094EAD">
              <w:rPr>
                <w:sz w:val="20"/>
                <w:szCs w:val="20"/>
              </w:rPr>
              <w:t>Torsades</w:t>
            </w:r>
            <w:proofErr w:type="spellEnd"/>
            <w:r w:rsidRPr="00094EAD">
              <w:rPr>
                <w:sz w:val="20"/>
                <w:szCs w:val="20"/>
              </w:rPr>
              <w:t xml:space="preserve"> de </w:t>
            </w:r>
            <w:proofErr w:type="spellStart"/>
            <w:r w:rsidRPr="00094EAD">
              <w:rPr>
                <w:sz w:val="20"/>
                <w:szCs w:val="20"/>
              </w:rPr>
              <w:t>pointes</w:t>
            </w:r>
            <w:proofErr w:type="spellEnd"/>
          </w:p>
        </w:tc>
        <w:tc>
          <w:tcPr>
            <w:tcW w:w="2207" w:type="dxa"/>
          </w:tcPr>
          <w:p w14:paraId="55C70D62" w14:textId="77777777" w:rsidR="00094EAD" w:rsidRPr="00094EAD" w:rsidRDefault="00094EAD" w:rsidP="00094EAD">
            <w:pPr>
              <w:rPr>
                <w:sz w:val="20"/>
                <w:szCs w:val="20"/>
              </w:rPr>
            </w:pPr>
            <w:r w:rsidRPr="00094EAD">
              <w:rPr>
                <w:sz w:val="20"/>
                <w:szCs w:val="20"/>
              </w:rPr>
              <w:t xml:space="preserve">Enfermedad </w:t>
            </w:r>
            <w:proofErr w:type="spellStart"/>
            <w:r w:rsidRPr="00094EAD">
              <w:rPr>
                <w:sz w:val="20"/>
                <w:szCs w:val="20"/>
              </w:rPr>
              <w:t>pre-existente</w:t>
            </w:r>
            <w:proofErr w:type="spellEnd"/>
            <w:r w:rsidRPr="00094EAD">
              <w:rPr>
                <w:sz w:val="20"/>
                <w:szCs w:val="20"/>
              </w:rPr>
              <w:t xml:space="preserve"> de la</w:t>
            </w:r>
          </w:p>
          <w:p w14:paraId="246353C5" w14:textId="7A680A01" w:rsidR="003A220E" w:rsidRPr="00094EAD" w:rsidRDefault="00094EAD" w:rsidP="00094EAD">
            <w:pPr>
              <w:rPr>
                <w:sz w:val="20"/>
                <w:szCs w:val="20"/>
              </w:rPr>
            </w:pPr>
            <w:r w:rsidRPr="00094EAD">
              <w:rPr>
                <w:sz w:val="20"/>
                <w:szCs w:val="20"/>
              </w:rPr>
              <w:t>conducción cardiaca. Uso</w:t>
            </w:r>
            <w:r>
              <w:rPr>
                <w:sz w:val="20"/>
                <w:szCs w:val="20"/>
              </w:rPr>
              <w:t xml:space="preserve"> </w:t>
            </w:r>
            <w:r w:rsidRPr="00094EAD">
              <w:rPr>
                <w:sz w:val="20"/>
                <w:szCs w:val="20"/>
              </w:rPr>
              <w:t>concomitante de otros</w:t>
            </w:r>
            <w:r>
              <w:rPr>
                <w:sz w:val="20"/>
                <w:szCs w:val="20"/>
              </w:rPr>
              <w:t xml:space="preserve"> </w:t>
            </w:r>
            <w:r w:rsidRPr="00094EAD">
              <w:rPr>
                <w:sz w:val="20"/>
                <w:szCs w:val="20"/>
              </w:rPr>
              <w:t>medicamentos que prolonguen el</w:t>
            </w:r>
            <w:r>
              <w:rPr>
                <w:sz w:val="20"/>
                <w:szCs w:val="20"/>
              </w:rPr>
              <w:t xml:space="preserve"> </w:t>
            </w:r>
            <w:r w:rsidRPr="00094EAD">
              <w:rPr>
                <w:sz w:val="20"/>
                <w:szCs w:val="20"/>
              </w:rPr>
              <w:t>intervalo PR.</w:t>
            </w:r>
          </w:p>
        </w:tc>
        <w:tc>
          <w:tcPr>
            <w:tcW w:w="2207" w:type="dxa"/>
          </w:tcPr>
          <w:p w14:paraId="7DE5120E" w14:textId="77777777" w:rsidR="00094EAD" w:rsidRPr="00094EAD" w:rsidRDefault="00094EAD" w:rsidP="00094EAD">
            <w:pPr>
              <w:rPr>
                <w:sz w:val="20"/>
                <w:szCs w:val="20"/>
              </w:rPr>
            </w:pPr>
            <w:r w:rsidRPr="00094EAD">
              <w:rPr>
                <w:sz w:val="20"/>
                <w:szCs w:val="20"/>
              </w:rPr>
              <w:t>Considerar cambio a</w:t>
            </w:r>
          </w:p>
          <w:p w14:paraId="11917EEA" w14:textId="57F293A1" w:rsidR="003A220E" w:rsidRDefault="00094EAD" w:rsidP="00094EAD">
            <w:pPr>
              <w:rPr>
                <w:b/>
                <w:bCs/>
                <w:sz w:val="20"/>
                <w:szCs w:val="20"/>
              </w:rPr>
            </w:pPr>
            <w:proofErr w:type="spellStart"/>
            <w:r w:rsidRPr="00094EAD">
              <w:rPr>
                <w:sz w:val="20"/>
                <w:szCs w:val="20"/>
              </w:rPr>
              <w:t>Raltegravir</w:t>
            </w:r>
            <w:proofErr w:type="spellEnd"/>
            <w:r w:rsidRPr="00094EAD">
              <w:rPr>
                <w:sz w:val="20"/>
                <w:szCs w:val="20"/>
              </w:rPr>
              <w:t>.</w:t>
            </w:r>
          </w:p>
        </w:tc>
      </w:tr>
      <w:tr w:rsidR="003A220E" w14:paraId="48DD80CA" w14:textId="77777777" w:rsidTr="00451BBE">
        <w:tc>
          <w:tcPr>
            <w:tcW w:w="2207" w:type="dxa"/>
            <w:vMerge/>
            <w:shd w:val="clear" w:color="auto" w:fill="AEAAAA" w:themeFill="background2" w:themeFillShade="BF"/>
          </w:tcPr>
          <w:p w14:paraId="5F0BEA61" w14:textId="77777777" w:rsidR="003A220E" w:rsidRPr="00C24B68" w:rsidRDefault="003A220E" w:rsidP="00C24B68">
            <w:pPr>
              <w:rPr>
                <w:b/>
                <w:bCs/>
                <w:sz w:val="20"/>
                <w:szCs w:val="20"/>
              </w:rPr>
            </w:pPr>
          </w:p>
        </w:tc>
        <w:tc>
          <w:tcPr>
            <w:tcW w:w="2207" w:type="dxa"/>
          </w:tcPr>
          <w:p w14:paraId="672B7542" w14:textId="1E36D148" w:rsidR="003A220E" w:rsidRPr="00094EAD" w:rsidRDefault="00094EAD" w:rsidP="00C24B68">
            <w:pPr>
              <w:rPr>
                <w:sz w:val="20"/>
                <w:szCs w:val="20"/>
              </w:rPr>
            </w:pPr>
            <w:r w:rsidRPr="00094EAD">
              <w:rPr>
                <w:sz w:val="20"/>
                <w:szCs w:val="20"/>
              </w:rPr>
              <w:t>Hepatotoxicidad</w:t>
            </w:r>
          </w:p>
        </w:tc>
        <w:tc>
          <w:tcPr>
            <w:tcW w:w="2207" w:type="dxa"/>
          </w:tcPr>
          <w:p w14:paraId="5FEBDE6F" w14:textId="77777777" w:rsidR="00094EAD" w:rsidRPr="00094EAD" w:rsidRDefault="00094EAD" w:rsidP="00094EAD">
            <w:pPr>
              <w:rPr>
                <w:sz w:val="20"/>
                <w:szCs w:val="20"/>
              </w:rPr>
            </w:pPr>
            <w:r w:rsidRPr="00094EAD">
              <w:rPr>
                <w:sz w:val="20"/>
                <w:szCs w:val="20"/>
              </w:rPr>
              <w:t>Hepatopatía preexistente como</w:t>
            </w:r>
          </w:p>
          <w:p w14:paraId="76C139D6" w14:textId="77777777" w:rsidR="00094EAD" w:rsidRPr="00094EAD" w:rsidRDefault="00094EAD" w:rsidP="00094EAD">
            <w:pPr>
              <w:rPr>
                <w:sz w:val="20"/>
                <w:szCs w:val="20"/>
              </w:rPr>
            </w:pPr>
            <w:r w:rsidRPr="00094EAD">
              <w:rPr>
                <w:sz w:val="20"/>
                <w:szCs w:val="20"/>
              </w:rPr>
              <w:t>Hepatitis B o C. Uso concomitante</w:t>
            </w:r>
          </w:p>
          <w:p w14:paraId="093E6602" w14:textId="6DD4CE0F" w:rsidR="003A220E" w:rsidRPr="00094EAD" w:rsidRDefault="00094EAD" w:rsidP="00094EAD">
            <w:pPr>
              <w:rPr>
                <w:sz w:val="20"/>
                <w:szCs w:val="20"/>
              </w:rPr>
            </w:pPr>
            <w:r w:rsidRPr="00094EAD">
              <w:rPr>
                <w:sz w:val="20"/>
                <w:szCs w:val="20"/>
              </w:rPr>
              <w:t>de medicamentos hepatotóxicos.</w:t>
            </w:r>
          </w:p>
        </w:tc>
        <w:tc>
          <w:tcPr>
            <w:tcW w:w="2207" w:type="dxa"/>
          </w:tcPr>
          <w:p w14:paraId="09F18843" w14:textId="77777777" w:rsidR="00094EAD" w:rsidRPr="00094EAD" w:rsidRDefault="00094EAD" w:rsidP="00094EAD">
            <w:pPr>
              <w:rPr>
                <w:sz w:val="20"/>
                <w:szCs w:val="20"/>
              </w:rPr>
            </w:pPr>
            <w:r w:rsidRPr="00094EAD">
              <w:rPr>
                <w:sz w:val="20"/>
                <w:szCs w:val="20"/>
              </w:rPr>
              <w:t>Considerar cambio a</w:t>
            </w:r>
          </w:p>
          <w:p w14:paraId="39DC05F6" w14:textId="1205334E" w:rsidR="003A220E" w:rsidRPr="00094EAD" w:rsidRDefault="00094EAD" w:rsidP="00094EAD">
            <w:pPr>
              <w:rPr>
                <w:sz w:val="20"/>
                <w:szCs w:val="20"/>
              </w:rPr>
            </w:pPr>
            <w:proofErr w:type="spellStart"/>
            <w:r w:rsidRPr="00094EAD">
              <w:rPr>
                <w:sz w:val="20"/>
                <w:szCs w:val="20"/>
              </w:rPr>
              <w:t>Raltegravir</w:t>
            </w:r>
            <w:proofErr w:type="spellEnd"/>
            <w:r w:rsidRPr="00094EAD">
              <w:rPr>
                <w:sz w:val="20"/>
                <w:szCs w:val="20"/>
              </w:rPr>
              <w:t>.</w:t>
            </w:r>
          </w:p>
        </w:tc>
      </w:tr>
      <w:tr w:rsidR="003A220E" w14:paraId="3259BBCD" w14:textId="77777777" w:rsidTr="00451BBE">
        <w:tc>
          <w:tcPr>
            <w:tcW w:w="2207" w:type="dxa"/>
            <w:vMerge/>
            <w:shd w:val="clear" w:color="auto" w:fill="AEAAAA" w:themeFill="background2" w:themeFillShade="BF"/>
          </w:tcPr>
          <w:p w14:paraId="6880EE1D" w14:textId="77777777" w:rsidR="003A220E" w:rsidRPr="00C24B68" w:rsidRDefault="003A220E" w:rsidP="00C24B68">
            <w:pPr>
              <w:rPr>
                <w:b/>
                <w:bCs/>
                <w:sz w:val="20"/>
                <w:szCs w:val="20"/>
              </w:rPr>
            </w:pPr>
          </w:p>
        </w:tc>
        <w:tc>
          <w:tcPr>
            <w:tcW w:w="2207" w:type="dxa"/>
          </w:tcPr>
          <w:p w14:paraId="077C7514" w14:textId="77777777" w:rsidR="00094EAD" w:rsidRPr="00094EAD" w:rsidRDefault="00094EAD" w:rsidP="00094EAD">
            <w:pPr>
              <w:rPr>
                <w:sz w:val="20"/>
                <w:szCs w:val="20"/>
              </w:rPr>
            </w:pPr>
            <w:r w:rsidRPr="00094EAD">
              <w:rPr>
                <w:sz w:val="20"/>
                <w:szCs w:val="20"/>
              </w:rPr>
              <w:t>Lipodistrofia o síndrome</w:t>
            </w:r>
          </w:p>
          <w:p w14:paraId="5219F4ED" w14:textId="443EF697" w:rsidR="00094EAD" w:rsidRPr="00094EAD" w:rsidRDefault="00094EAD" w:rsidP="00094EAD">
            <w:pPr>
              <w:rPr>
                <w:sz w:val="20"/>
                <w:szCs w:val="20"/>
              </w:rPr>
            </w:pPr>
            <w:r w:rsidRPr="00094EAD">
              <w:rPr>
                <w:sz w:val="20"/>
                <w:szCs w:val="20"/>
              </w:rPr>
              <w:t>metabólico, dislipidemia o</w:t>
            </w:r>
            <w:r>
              <w:rPr>
                <w:sz w:val="20"/>
                <w:szCs w:val="20"/>
              </w:rPr>
              <w:t xml:space="preserve"> </w:t>
            </w:r>
            <w:r w:rsidRPr="00094EAD">
              <w:rPr>
                <w:sz w:val="20"/>
                <w:szCs w:val="20"/>
              </w:rPr>
              <w:t>diarrea grave. Diabetes</w:t>
            </w:r>
          </w:p>
          <w:p w14:paraId="353BB689" w14:textId="48D61BC9" w:rsidR="003A220E" w:rsidRPr="00094EAD" w:rsidRDefault="00094EAD" w:rsidP="00094EAD">
            <w:pPr>
              <w:rPr>
                <w:sz w:val="20"/>
                <w:szCs w:val="20"/>
              </w:rPr>
            </w:pPr>
            <w:r w:rsidRPr="00094EAD">
              <w:rPr>
                <w:sz w:val="20"/>
                <w:szCs w:val="20"/>
              </w:rPr>
              <w:t>mellitus.</w:t>
            </w:r>
          </w:p>
        </w:tc>
        <w:tc>
          <w:tcPr>
            <w:tcW w:w="2207" w:type="dxa"/>
          </w:tcPr>
          <w:p w14:paraId="354770A2" w14:textId="77777777" w:rsidR="00094EAD" w:rsidRPr="00094EAD" w:rsidRDefault="00094EAD" w:rsidP="00094EAD">
            <w:pPr>
              <w:rPr>
                <w:sz w:val="20"/>
                <w:szCs w:val="20"/>
              </w:rPr>
            </w:pPr>
            <w:r w:rsidRPr="00094EAD">
              <w:rPr>
                <w:sz w:val="20"/>
                <w:szCs w:val="20"/>
              </w:rPr>
              <w:t>Evaluar factores de riesgo al inicio</w:t>
            </w:r>
          </w:p>
          <w:p w14:paraId="4ED6841B" w14:textId="10B8BB7D" w:rsidR="003A220E" w:rsidRDefault="00094EAD" w:rsidP="00094EAD">
            <w:pPr>
              <w:rPr>
                <w:b/>
                <w:bCs/>
                <w:sz w:val="20"/>
                <w:szCs w:val="20"/>
              </w:rPr>
            </w:pPr>
            <w:r w:rsidRPr="00094EAD">
              <w:rPr>
                <w:sz w:val="20"/>
                <w:szCs w:val="20"/>
              </w:rPr>
              <w:t>y en seguimiento.</w:t>
            </w:r>
          </w:p>
        </w:tc>
        <w:tc>
          <w:tcPr>
            <w:tcW w:w="2207" w:type="dxa"/>
          </w:tcPr>
          <w:p w14:paraId="2D92C197" w14:textId="77777777" w:rsidR="00094EAD" w:rsidRPr="00094EAD" w:rsidRDefault="00094EAD" w:rsidP="00094EAD">
            <w:pPr>
              <w:rPr>
                <w:sz w:val="20"/>
                <w:szCs w:val="20"/>
              </w:rPr>
            </w:pPr>
            <w:r w:rsidRPr="00094EAD">
              <w:rPr>
                <w:sz w:val="20"/>
                <w:szCs w:val="20"/>
              </w:rPr>
              <w:t>Considerar cambio a</w:t>
            </w:r>
          </w:p>
          <w:p w14:paraId="1696CD96" w14:textId="721996A5" w:rsidR="003A220E" w:rsidRDefault="00094EAD" w:rsidP="00094EAD">
            <w:pPr>
              <w:rPr>
                <w:b/>
                <w:bCs/>
                <w:sz w:val="20"/>
                <w:szCs w:val="20"/>
              </w:rPr>
            </w:pPr>
            <w:proofErr w:type="spellStart"/>
            <w:r w:rsidRPr="00094EAD">
              <w:rPr>
                <w:sz w:val="20"/>
                <w:szCs w:val="20"/>
              </w:rPr>
              <w:t>Raltegravir</w:t>
            </w:r>
            <w:proofErr w:type="spellEnd"/>
            <w:r w:rsidRPr="00094EAD">
              <w:rPr>
                <w:sz w:val="20"/>
                <w:szCs w:val="20"/>
              </w:rPr>
              <w:t>.</w:t>
            </w:r>
          </w:p>
        </w:tc>
      </w:tr>
      <w:tr w:rsidR="00C24B68" w14:paraId="402A98F5" w14:textId="77777777" w:rsidTr="00451BBE">
        <w:tc>
          <w:tcPr>
            <w:tcW w:w="2207" w:type="dxa"/>
            <w:shd w:val="clear" w:color="auto" w:fill="AEAAAA" w:themeFill="background2" w:themeFillShade="BF"/>
          </w:tcPr>
          <w:p w14:paraId="049E9E1A" w14:textId="77777777" w:rsidR="00C24B68" w:rsidRPr="00C24B68" w:rsidRDefault="00C24B68" w:rsidP="00C24B68">
            <w:pPr>
              <w:rPr>
                <w:b/>
                <w:bCs/>
                <w:sz w:val="20"/>
                <w:szCs w:val="20"/>
              </w:rPr>
            </w:pPr>
            <w:proofErr w:type="spellStart"/>
            <w:r w:rsidRPr="00C24B68">
              <w:rPr>
                <w:b/>
                <w:bCs/>
                <w:sz w:val="20"/>
                <w:szCs w:val="20"/>
              </w:rPr>
              <w:t>Raltegravir</w:t>
            </w:r>
            <w:proofErr w:type="spellEnd"/>
            <w:r w:rsidRPr="00C24B68">
              <w:rPr>
                <w:b/>
                <w:bCs/>
                <w:sz w:val="20"/>
                <w:szCs w:val="20"/>
              </w:rPr>
              <w:t xml:space="preserve"> más</w:t>
            </w:r>
          </w:p>
          <w:p w14:paraId="4D687F77" w14:textId="5424079D" w:rsidR="00C24B68" w:rsidRDefault="00C24B68" w:rsidP="00C24B68">
            <w:pPr>
              <w:rPr>
                <w:b/>
                <w:bCs/>
                <w:sz w:val="20"/>
                <w:szCs w:val="20"/>
              </w:rPr>
            </w:pPr>
            <w:r w:rsidRPr="00C24B68">
              <w:rPr>
                <w:b/>
                <w:bCs/>
                <w:sz w:val="20"/>
                <w:szCs w:val="20"/>
              </w:rPr>
              <w:t>ritonavir</w:t>
            </w:r>
          </w:p>
        </w:tc>
        <w:tc>
          <w:tcPr>
            <w:tcW w:w="2207" w:type="dxa"/>
          </w:tcPr>
          <w:p w14:paraId="3CEEC75B" w14:textId="7F787F71" w:rsidR="00C24B68" w:rsidRPr="00094EAD" w:rsidRDefault="00094EAD" w:rsidP="00094EAD">
            <w:pPr>
              <w:rPr>
                <w:sz w:val="20"/>
                <w:szCs w:val="20"/>
              </w:rPr>
            </w:pPr>
            <w:r w:rsidRPr="00094EAD">
              <w:rPr>
                <w:sz w:val="20"/>
                <w:szCs w:val="20"/>
              </w:rPr>
              <w:t>Rabdomiólisis,</w:t>
            </w:r>
            <w:r>
              <w:rPr>
                <w:sz w:val="20"/>
                <w:szCs w:val="20"/>
              </w:rPr>
              <w:t xml:space="preserve"> </w:t>
            </w:r>
            <w:r w:rsidRPr="00094EAD">
              <w:rPr>
                <w:sz w:val="20"/>
                <w:szCs w:val="20"/>
              </w:rPr>
              <w:t>miopatía,</w:t>
            </w:r>
            <w:r>
              <w:rPr>
                <w:sz w:val="20"/>
                <w:szCs w:val="20"/>
              </w:rPr>
              <w:t xml:space="preserve"> </w:t>
            </w:r>
            <w:r w:rsidRPr="00094EAD">
              <w:rPr>
                <w:sz w:val="20"/>
                <w:szCs w:val="20"/>
              </w:rPr>
              <w:t>mialgias.</w:t>
            </w:r>
          </w:p>
        </w:tc>
        <w:tc>
          <w:tcPr>
            <w:tcW w:w="2207" w:type="dxa"/>
          </w:tcPr>
          <w:p w14:paraId="23F620A3" w14:textId="77777777" w:rsidR="00094EAD" w:rsidRPr="00094EAD" w:rsidRDefault="00094EAD" w:rsidP="00094EAD">
            <w:pPr>
              <w:rPr>
                <w:sz w:val="20"/>
                <w:szCs w:val="20"/>
              </w:rPr>
            </w:pPr>
            <w:r w:rsidRPr="00094EAD">
              <w:rPr>
                <w:sz w:val="20"/>
                <w:szCs w:val="20"/>
              </w:rPr>
              <w:t>Uso concomitante de</w:t>
            </w:r>
          </w:p>
          <w:p w14:paraId="2F62C0B5" w14:textId="32B23141" w:rsidR="00C24B68" w:rsidRPr="00094EAD" w:rsidRDefault="00094EAD" w:rsidP="00094EAD">
            <w:pPr>
              <w:rPr>
                <w:sz w:val="20"/>
                <w:szCs w:val="20"/>
              </w:rPr>
            </w:pPr>
            <w:r w:rsidRPr="00094EAD">
              <w:rPr>
                <w:sz w:val="20"/>
                <w:szCs w:val="20"/>
              </w:rPr>
              <w:t>medicamentos que causen</w:t>
            </w:r>
            <w:r>
              <w:rPr>
                <w:sz w:val="20"/>
                <w:szCs w:val="20"/>
              </w:rPr>
              <w:t xml:space="preserve"> </w:t>
            </w:r>
            <w:r w:rsidRPr="00094EAD">
              <w:rPr>
                <w:sz w:val="20"/>
                <w:szCs w:val="20"/>
              </w:rPr>
              <w:t>rabdomiólisis</w:t>
            </w:r>
          </w:p>
        </w:tc>
        <w:tc>
          <w:tcPr>
            <w:tcW w:w="2207" w:type="dxa"/>
          </w:tcPr>
          <w:p w14:paraId="3FB20679" w14:textId="77777777" w:rsidR="00094EAD" w:rsidRPr="00094EAD" w:rsidRDefault="00094EAD" w:rsidP="00094EAD">
            <w:pPr>
              <w:rPr>
                <w:sz w:val="20"/>
                <w:szCs w:val="20"/>
              </w:rPr>
            </w:pPr>
            <w:r w:rsidRPr="00094EAD">
              <w:rPr>
                <w:sz w:val="20"/>
                <w:szCs w:val="20"/>
              </w:rPr>
              <w:t>Considerar cambio a</w:t>
            </w:r>
          </w:p>
          <w:p w14:paraId="2BAF2CA5" w14:textId="77777777" w:rsidR="00094EAD" w:rsidRPr="00094EAD" w:rsidRDefault="00094EAD" w:rsidP="00094EAD">
            <w:pPr>
              <w:rPr>
                <w:sz w:val="20"/>
                <w:szCs w:val="20"/>
              </w:rPr>
            </w:pPr>
            <w:r w:rsidRPr="00094EAD">
              <w:rPr>
                <w:sz w:val="20"/>
                <w:szCs w:val="20"/>
              </w:rPr>
              <w:t>otras clases como IP/r,</w:t>
            </w:r>
          </w:p>
          <w:p w14:paraId="7A87A0A3" w14:textId="7A5083DD" w:rsidR="00C24B68" w:rsidRDefault="00094EAD" w:rsidP="00094EAD">
            <w:pPr>
              <w:rPr>
                <w:b/>
                <w:bCs/>
                <w:sz w:val="20"/>
                <w:szCs w:val="20"/>
              </w:rPr>
            </w:pPr>
            <w:r w:rsidRPr="00094EAD">
              <w:rPr>
                <w:sz w:val="20"/>
                <w:szCs w:val="20"/>
              </w:rPr>
              <w:t>INNTR o MVC</w:t>
            </w:r>
          </w:p>
        </w:tc>
      </w:tr>
      <w:tr w:rsidR="00A4053B" w14:paraId="627A8C06" w14:textId="77777777" w:rsidTr="00451BBE">
        <w:tc>
          <w:tcPr>
            <w:tcW w:w="2207" w:type="dxa"/>
            <w:vMerge w:val="restart"/>
            <w:shd w:val="clear" w:color="auto" w:fill="AEAAAA" w:themeFill="background2" w:themeFillShade="BF"/>
          </w:tcPr>
          <w:p w14:paraId="3EC2FA0C" w14:textId="77777777" w:rsidR="00A4053B" w:rsidRDefault="00A4053B" w:rsidP="00A4053B">
            <w:pPr>
              <w:jc w:val="center"/>
              <w:rPr>
                <w:b/>
                <w:bCs/>
                <w:sz w:val="20"/>
                <w:szCs w:val="20"/>
              </w:rPr>
            </w:pPr>
          </w:p>
          <w:p w14:paraId="5DDAF55E" w14:textId="77777777" w:rsidR="00A4053B" w:rsidRDefault="00A4053B" w:rsidP="00A4053B">
            <w:pPr>
              <w:jc w:val="center"/>
              <w:rPr>
                <w:b/>
                <w:bCs/>
                <w:sz w:val="20"/>
                <w:szCs w:val="20"/>
              </w:rPr>
            </w:pPr>
          </w:p>
          <w:p w14:paraId="18579388" w14:textId="77777777" w:rsidR="00A4053B" w:rsidRDefault="00A4053B" w:rsidP="00A4053B">
            <w:pPr>
              <w:jc w:val="center"/>
              <w:rPr>
                <w:b/>
                <w:bCs/>
                <w:sz w:val="20"/>
                <w:szCs w:val="20"/>
              </w:rPr>
            </w:pPr>
          </w:p>
          <w:p w14:paraId="3D3ABFB4" w14:textId="3403FEED" w:rsidR="00A4053B" w:rsidRDefault="00A4053B" w:rsidP="00A4053B">
            <w:pPr>
              <w:jc w:val="center"/>
              <w:rPr>
                <w:b/>
                <w:bCs/>
                <w:sz w:val="20"/>
                <w:szCs w:val="20"/>
              </w:rPr>
            </w:pPr>
            <w:r w:rsidRPr="00C24B68">
              <w:rPr>
                <w:b/>
                <w:bCs/>
                <w:sz w:val="20"/>
                <w:szCs w:val="20"/>
              </w:rPr>
              <w:t>Zidovudina (AZT)</w:t>
            </w:r>
          </w:p>
        </w:tc>
        <w:tc>
          <w:tcPr>
            <w:tcW w:w="2207" w:type="dxa"/>
          </w:tcPr>
          <w:p w14:paraId="11D927EC" w14:textId="27FB16BD" w:rsidR="00A4053B" w:rsidRPr="00094EAD" w:rsidRDefault="00A4053B" w:rsidP="00C24B68">
            <w:pPr>
              <w:rPr>
                <w:sz w:val="20"/>
                <w:szCs w:val="20"/>
              </w:rPr>
            </w:pPr>
            <w:r w:rsidRPr="00094EAD">
              <w:rPr>
                <w:sz w:val="20"/>
                <w:szCs w:val="20"/>
              </w:rPr>
              <w:t>Anemia, neutropenia</w:t>
            </w:r>
          </w:p>
        </w:tc>
        <w:tc>
          <w:tcPr>
            <w:tcW w:w="2207" w:type="dxa"/>
          </w:tcPr>
          <w:p w14:paraId="52DD3FCE" w14:textId="4511A368" w:rsidR="00A4053B" w:rsidRPr="00094EAD" w:rsidRDefault="00A4053B" w:rsidP="00C24B68">
            <w:pPr>
              <w:rPr>
                <w:sz w:val="20"/>
                <w:szCs w:val="20"/>
              </w:rPr>
            </w:pPr>
            <w:r w:rsidRPr="00094EAD">
              <w:rPr>
                <w:sz w:val="20"/>
                <w:szCs w:val="20"/>
              </w:rPr>
              <w:t>Anemia neutropenia de base.</w:t>
            </w:r>
          </w:p>
        </w:tc>
        <w:tc>
          <w:tcPr>
            <w:tcW w:w="2207" w:type="dxa"/>
          </w:tcPr>
          <w:p w14:paraId="0CE5AF16" w14:textId="71D80724" w:rsidR="00A4053B" w:rsidRPr="00607DC9" w:rsidRDefault="00A4053B" w:rsidP="00C24B68">
            <w:pPr>
              <w:rPr>
                <w:sz w:val="20"/>
                <w:szCs w:val="20"/>
              </w:rPr>
            </w:pPr>
            <w:r w:rsidRPr="00607DC9">
              <w:rPr>
                <w:sz w:val="20"/>
                <w:szCs w:val="20"/>
              </w:rPr>
              <w:t>Sustituir por ABC</w:t>
            </w:r>
          </w:p>
        </w:tc>
      </w:tr>
      <w:tr w:rsidR="00A4053B" w14:paraId="3F9B3425" w14:textId="77777777" w:rsidTr="00451BBE">
        <w:tc>
          <w:tcPr>
            <w:tcW w:w="2207" w:type="dxa"/>
            <w:vMerge/>
            <w:shd w:val="clear" w:color="auto" w:fill="AEAAAA" w:themeFill="background2" w:themeFillShade="BF"/>
          </w:tcPr>
          <w:p w14:paraId="125AA264" w14:textId="77777777" w:rsidR="00A4053B" w:rsidRDefault="00A4053B" w:rsidP="00C24B68">
            <w:pPr>
              <w:rPr>
                <w:b/>
                <w:bCs/>
                <w:sz w:val="20"/>
                <w:szCs w:val="20"/>
              </w:rPr>
            </w:pPr>
          </w:p>
        </w:tc>
        <w:tc>
          <w:tcPr>
            <w:tcW w:w="2207" w:type="dxa"/>
          </w:tcPr>
          <w:p w14:paraId="450500F1" w14:textId="77777777" w:rsidR="00A4053B" w:rsidRPr="00607DC9" w:rsidRDefault="00A4053B" w:rsidP="00607DC9">
            <w:pPr>
              <w:rPr>
                <w:sz w:val="20"/>
                <w:szCs w:val="20"/>
              </w:rPr>
            </w:pPr>
            <w:r w:rsidRPr="00607DC9">
              <w:rPr>
                <w:sz w:val="20"/>
                <w:szCs w:val="20"/>
              </w:rPr>
              <w:t>Lipodistrofia, dislipidemia</w:t>
            </w:r>
          </w:p>
          <w:p w14:paraId="3A14927F" w14:textId="6C01FB35" w:rsidR="00A4053B" w:rsidRPr="00607DC9" w:rsidRDefault="00A4053B" w:rsidP="00607DC9">
            <w:pPr>
              <w:rPr>
                <w:sz w:val="20"/>
                <w:szCs w:val="20"/>
              </w:rPr>
            </w:pPr>
            <w:r w:rsidRPr="00607DC9">
              <w:rPr>
                <w:sz w:val="20"/>
                <w:szCs w:val="20"/>
              </w:rPr>
              <w:t>(aumento de LDL o TG)</w:t>
            </w:r>
          </w:p>
        </w:tc>
        <w:tc>
          <w:tcPr>
            <w:tcW w:w="2207" w:type="dxa"/>
          </w:tcPr>
          <w:p w14:paraId="25D19F7F" w14:textId="77777777" w:rsidR="00A4053B" w:rsidRPr="00607DC9" w:rsidRDefault="00A4053B" w:rsidP="00607DC9">
            <w:pPr>
              <w:rPr>
                <w:sz w:val="20"/>
                <w:szCs w:val="20"/>
              </w:rPr>
            </w:pPr>
            <w:r w:rsidRPr="00607DC9">
              <w:rPr>
                <w:sz w:val="20"/>
                <w:szCs w:val="20"/>
              </w:rPr>
              <w:t>Evaluar factores de riesgo al inicio</w:t>
            </w:r>
          </w:p>
          <w:p w14:paraId="4244E682" w14:textId="75E0A306" w:rsidR="00A4053B" w:rsidRDefault="00A4053B" w:rsidP="00607DC9">
            <w:pPr>
              <w:rPr>
                <w:b/>
                <w:bCs/>
                <w:sz w:val="20"/>
                <w:szCs w:val="20"/>
              </w:rPr>
            </w:pPr>
            <w:r w:rsidRPr="00607DC9">
              <w:rPr>
                <w:sz w:val="20"/>
                <w:szCs w:val="20"/>
              </w:rPr>
              <w:t>y en seguimiento.</w:t>
            </w:r>
          </w:p>
        </w:tc>
        <w:tc>
          <w:tcPr>
            <w:tcW w:w="2207" w:type="dxa"/>
          </w:tcPr>
          <w:p w14:paraId="727DB116" w14:textId="77777777" w:rsidR="00A4053B" w:rsidRPr="00607DC9" w:rsidRDefault="00A4053B" w:rsidP="00607DC9">
            <w:pPr>
              <w:rPr>
                <w:sz w:val="20"/>
                <w:szCs w:val="20"/>
              </w:rPr>
            </w:pPr>
            <w:r w:rsidRPr="00607DC9">
              <w:rPr>
                <w:sz w:val="20"/>
                <w:szCs w:val="20"/>
              </w:rPr>
              <w:t>Ajuste de dieta o</w:t>
            </w:r>
          </w:p>
          <w:p w14:paraId="684BD0EE" w14:textId="5AFF856A" w:rsidR="00A4053B" w:rsidRDefault="00A4053B" w:rsidP="00607DC9">
            <w:pPr>
              <w:rPr>
                <w:b/>
                <w:bCs/>
                <w:sz w:val="20"/>
                <w:szCs w:val="20"/>
              </w:rPr>
            </w:pPr>
            <w:r w:rsidRPr="00607DC9">
              <w:rPr>
                <w:sz w:val="20"/>
                <w:szCs w:val="20"/>
              </w:rPr>
              <w:t>cambio a ABC</w:t>
            </w:r>
          </w:p>
        </w:tc>
      </w:tr>
      <w:tr w:rsidR="00A4053B" w14:paraId="2DF43F66" w14:textId="77777777" w:rsidTr="00451BBE">
        <w:tc>
          <w:tcPr>
            <w:tcW w:w="2207" w:type="dxa"/>
            <w:vMerge/>
            <w:shd w:val="clear" w:color="auto" w:fill="AEAAAA" w:themeFill="background2" w:themeFillShade="BF"/>
          </w:tcPr>
          <w:p w14:paraId="402C48AE" w14:textId="77777777" w:rsidR="00A4053B" w:rsidRDefault="00A4053B" w:rsidP="00C24B68">
            <w:pPr>
              <w:rPr>
                <w:b/>
                <w:bCs/>
                <w:sz w:val="20"/>
                <w:szCs w:val="20"/>
              </w:rPr>
            </w:pPr>
          </w:p>
        </w:tc>
        <w:tc>
          <w:tcPr>
            <w:tcW w:w="2207" w:type="dxa"/>
          </w:tcPr>
          <w:p w14:paraId="394DCF00" w14:textId="77777777" w:rsidR="00A4053B" w:rsidRPr="00A4053B" w:rsidRDefault="00A4053B" w:rsidP="00A4053B">
            <w:pPr>
              <w:rPr>
                <w:sz w:val="20"/>
                <w:szCs w:val="20"/>
              </w:rPr>
            </w:pPr>
            <w:r w:rsidRPr="00A4053B">
              <w:rPr>
                <w:sz w:val="20"/>
                <w:szCs w:val="20"/>
              </w:rPr>
              <w:t>Esteatosis, miopatía o</w:t>
            </w:r>
          </w:p>
          <w:p w14:paraId="7DED21DC" w14:textId="3C1A140F" w:rsidR="00A4053B" w:rsidRPr="00A4053B" w:rsidRDefault="00A4053B" w:rsidP="00A4053B">
            <w:pPr>
              <w:rPr>
                <w:sz w:val="20"/>
                <w:szCs w:val="20"/>
              </w:rPr>
            </w:pPr>
            <w:r w:rsidRPr="00A4053B">
              <w:rPr>
                <w:sz w:val="20"/>
                <w:szCs w:val="20"/>
              </w:rPr>
              <w:t>elevación del CPK, acidosis</w:t>
            </w:r>
            <w:r>
              <w:rPr>
                <w:sz w:val="20"/>
                <w:szCs w:val="20"/>
              </w:rPr>
              <w:t xml:space="preserve"> </w:t>
            </w:r>
            <w:r w:rsidRPr="00A4053B">
              <w:rPr>
                <w:sz w:val="20"/>
                <w:szCs w:val="20"/>
              </w:rPr>
              <w:t>láctica o hepatomegalia</w:t>
            </w:r>
            <w:r>
              <w:rPr>
                <w:sz w:val="20"/>
                <w:szCs w:val="20"/>
              </w:rPr>
              <w:t xml:space="preserve"> </w:t>
            </w:r>
            <w:r w:rsidRPr="00A4053B">
              <w:rPr>
                <w:sz w:val="20"/>
                <w:szCs w:val="20"/>
              </w:rPr>
              <w:t>grave.</w:t>
            </w:r>
          </w:p>
        </w:tc>
        <w:tc>
          <w:tcPr>
            <w:tcW w:w="2207" w:type="dxa"/>
          </w:tcPr>
          <w:p w14:paraId="0D38EF49" w14:textId="42CE3C93" w:rsidR="00A4053B" w:rsidRPr="00A4053B" w:rsidRDefault="00A4053B" w:rsidP="00C24B68">
            <w:pPr>
              <w:rPr>
                <w:sz w:val="20"/>
                <w:szCs w:val="20"/>
              </w:rPr>
            </w:pPr>
            <w:r w:rsidRPr="00A4053B">
              <w:rPr>
                <w:sz w:val="20"/>
                <w:szCs w:val="20"/>
              </w:rPr>
              <w:t>Obesidad.</w:t>
            </w:r>
          </w:p>
        </w:tc>
        <w:tc>
          <w:tcPr>
            <w:tcW w:w="2207" w:type="dxa"/>
          </w:tcPr>
          <w:p w14:paraId="5C406875" w14:textId="111E9749" w:rsidR="00A4053B" w:rsidRPr="00A4053B" w:rsidRDefault="00A4053B" w:rsidP="00C24B68">
            <w:pPr>
              <w:rPr>
                <w:sz w:val="20"/>
                <w:szCs w:val="20"/>
              </w:rPr>
            </w:pPr>
            <w:r w:rsidRPr="00A4053B">
              <w:rPr>
                <w:sz w:val="20"/>
                <w:szCs w:val="20"/>
              </w:rPr>
              <w:t>Sustituir por ABC</w:t>
            </w:r>
          </w:p>
        </w:tc>
      </w:tr>
    </w:tbl>
    <w:p w14:paraId="3F91E633" w14:textId="6C7F9FD4" w:rsidR="00C24B68" w:rsidRDefault="00C24B68" w:rsidP="00C24B68">
      <w:pPr>
        <w:rPr>
          <w:b/>
          <w:bCs/>
          <w:sz w:val="20"/>
          <w:szCs w:val="20"/>
        </w:rPr>
      </w:pPr>
    </w:p>
    <w:p w14:paraId="77238A3D" w14:textId="24BD0B29" w:rsidR="00FE1449" w:rsidRDefault="00FE1449" w:rsidP="00AA2753">
      <w:pPr>
        <w:pStyle w:val="Ttulo2"/>
      </w:pPr>
      <w:bookmarkStart w:id="15" w:name="_Toc84920675"/>
      <w:r w:rsidRPr="00FE1449">
        <w:t>5.6.5 Profilaxis post exposición de la hepatitis B en personas gestantes y no gestantes.</w:t>
      </w:r>
      <w:bookmarkEnd w:id="15"/>
    </w:p>
    <w:p w14:paraId="0361F0E3" w14:textId="548A90A2" w:rsidR="00FE1449" w:rsidRDefault="00FE1449" w:rsidP="00FE1449">
      <w:r w:rsidRPr="00FE1449">
        <w:t>La decisión de necesidad o no de Profilaxis para Hepatitis B, debe basarse en la certeza o no de vacunación</w:t>
      </w:r>
      <w:r>
        <w:t xml:space="preserve"> </w:t>
      </w:r>
      <w:r w:rsidRPr="00FE1449">
        <w:t xml:space="preserve">previa y en el nivel de títulos de anticuerpos adecuados para Hepatitis B superiores a 10 </w:t>
      </w:r>
      <w:proofErr w:type="spellStart"/>
      <w:r w:rsidRPr="00FE1449">
        <w:t>mlU</w:t>
      </w:r>
      <w:proofErr w:type="spellEnd"/>
      <w:r w:rsidRPr="00FE1449">
        <w:t>/</w:t>
      </w:r>
      <w:proofErr w:type="spellStart"/>
      <w:r w:rsidRPr="00FE1449">
        <w:t>mL</w:t>
      </w:r>
      <w:proofErr w:type="spellEnd"/>
      <w:r w:rsidRPr="00FE1449">
        <w:t xml:space="preserve"> en la</w:t>
      </w:r>
      <w:r>
        <w:t xml:space="preserve"> </w:t>
      </w:r>
      <w:r w:rsidRPr="00FE1449">
        <w:t>persona expuesta. El no acceso inmediato a dicha medición o la ausencia de información sobre el esquema</w:t>
      </w:r>
      <w:r>
        <w:t xml:space="preserve"> </w:t>
      </w:r>
      <w:r w:rsidRPr="00FE1449">
        <w:t>de vacunación, no deben retrasar el inicio de la profilaxis contra VHB.</w:t>
      </w:r>
    </w:p>
    <w:p w14:paraId="437846E6" w14:textId="77777777" w:rsidR="00FE1449" w:rsidRPr="00FE1449" w:rsidRDefault="00FE1449" w:rsidP="00FE1449">
      <w:pPr>
        <w:rPr>
          <w:b/>
          <w:bCs/>
        </w:rPr>
      </w:pPr>
      <w:r w:rsidRPr="00FE1449">
        <w:rPr>
          <w:b/>
          <w:bCs/>
        </w:rPr>
        <w:t>a) Vacuna contra Hepatitis B:</w:t>
      </w:r>
    </w:p>
    <w:p w14:paraId="7844C71C" w14:textId="77777777" w:rsidR="00FE1449" w:rsidRDefault="00FE1449" w:rsidP="00FE1449">
      <w:r>
        <w:t xml:space="preserve">Idealmente se debe iniciar durante las 72 horas </w:t>
      </w:r>
      <w:proofErr w:type="spellStart"/>
      <w:r>
        <w:t>post-exposición</w:t>
      </w:r>
      <w:proofErr w:type="spellEnd"/>
      <w:r>
        <w:t>.</w:t>
      </w:r>
    </w:p>
    <w:p w14:paraId="01976A0C" w14:textId="7E511787" w:rsidR="00FE1449" w:rsidRDefault="00FE1449" w:rsidP="00FE1449">
      <w:pPr>
        <w:pStyle w:val="Prrafodelista"/>
        <w:numPr>
          <w:ilvl w:val="0"/>
          <w:numId w:val="1"/>
        </w:numPr>
      </w:pPr>
      <w:r>
        <w:t xml:space="preserve"> Dosis pediátrica: de 5 a 10 </w:t>
      </w:r>
      <w:proofErr w:type="spellStart"/>
      <w:r>
        <w:t>ug</w:t>
      </w:r>
      <w:proofErr w:type="spellEnd"/>
      <w:r>
        <w:t xml:space="preserve"> (según el laboratorio productor). Se administra hasta los 10 años.</w:t>
      </w:r>
    </w:p>
    <w:p w14:paraId="35020555" w14:textId="1962C2B5" w:rsidR="00FE1449" w:rsidRDefault="00FE1449" w:rsidP="00FE1449">
      <w:pPr>
        <w:pStyle w:val="Prrafodelista"/>
        <w:numPr>
          <w:ilvl w:val="0"/>
          <w:numId w:val="1"/>
        </w:numPr>
      </w:pPr>
      <w:r>
        <w:lastRenderedPageBreak/>
        <w:t xml:space="preserve">Dosis para adolescentes: de 10 a 20 </w:t>
      </w:r>
      <w:proofErr w:type="spellStart"/>
      <w:r>
        <w:t>ug</w:t>
      </w:r>
      <w:proofErr w:type="spellEnd"/>
      <w:r>
        <w:t xml:space="preserve"> (según laboratorio productor). Se administra hasta 19 años inclusive.</w:t>
      </w:r>
    </w:p>
    <w:p w14:paraId="62DB83CC" w14:textId="4DE12B81" w:rsidR="00FE1449" w:rsidRDefault="00FE1449" w:rsidP="00FE1449">
      <w:pPr>
        <w:pStyle w:val="Prrafodelista"/>
        <w:numPr>
          <w:ilvl w:val="0"/>
          <w:numId w:val="1"/>
        </w:numPr>
      </w:pPr>
      <w:r>
        <w:t xml:space="preserve">Dosis adultos: de 20 </w:t>
      </w:r>
      <w:proofErr w:type="spellStart"/>
      <w:r>
        <w:t>ug</w:t>
      </w:r>
      <w:proofErr w:type="spellEnd"/>
      <w:r>
        <w:t>, a partir de los 20 años.</w:t>
      </w:r>
    </w:p>
    <w:p w14:paraId="07C74700" w14:textId="77777777" w:rsidR="00FE1449" w:rsidRDefault="00FE1449" w:rsidP="00FE1449"/>
    <w:p w14:paraId="524EDA24" w14:textId="4F9B529A" w:rsidR="00FE1449" w:rsidRDefault="00FE1449" w:rsidP="00FE1449">
      <w:r>
        <w:t>La primera y la segunda dosis deben estar separadas por un intervalo mínimo de 4 semanas. Es de preferencia un periodo más largo entre la segunda y tercera (4 meses);</w:t>
      </w:r>
      <w:r w:rsidR="00A13820">
        <w:t xml:space="preserve"> </w:t>
      </w:r>
      <w:r>
        <w:t>El esquema recomendado en estas directrices es 0, 1 y 6 meses, aunque hay esquemas rápidos de 0-1-2</w:t>
      </w:r>
      <w:r w:rsidR="00A13820">
        <w:t xml:space="preserve"> </w:t>
      </w:r>
      <w:r>
        <w:t>meses, muy recomendados en personas pertenecientes a poblaciones clave.</w:t>
      </w:r>
    </w:p>
    <w:p w14:paraId="7D4C5AB0" w14:textId="77777777" w:rsidR="00A13820" w:rsidRPr="00A13820" w:rsidRDefault="00A13820" w:rsidP="00A13820">
      <w:pPr>
        <w:rPr>
          <w:b/>
          <w:bCs/>
          <w:lang w:val="en-US"/>
        </w:rPr>
      </w:pPr>
      <w:r w:rsidRPr="00A13820">
        <w:rPr>
          <w:b/>
          <w:bCs/>
          <w:lang w:val="en-US"/>
        </w:rPr>
        <w:t xml:space="preserve">b) </w:t>
      </w:r>
      <w:proofErr w:type="spellStart"/>
      <w:r w:rsidRPr="00A13820">
        <w:rPr>
          <w:b/>
          <w:bCs/>
          <w:lang w:val="en-US"/>
        </w:rPr>
        <w:t>Gammaglobulina</w:t>
      </w:r>
      <w:proofErr w:type="spellEnd"/>
      <w:r w:rsidRPr="00A13820">
        <w:rPr>
          <w:b/>
          <w:bCs/>
          <w:lang w:val="en-US"/>
        </w:rPr>
        <w:t xml:space="preserve"> anti-Hepatitis-B (HBIG).</w:t>
      </w:r>
    </w:p>
    <w:p w14:paraId="14BCCC65" w14:textId="69344E3B" w:rsidR="00A13820" w:rsidRPr="00C0484C" w:rsidRDefault="00A13820" w:rsidP="00A13820">
      <w:pPr>
        <w:rPr>
          <w:lang w:val="en-US"/>
        </w:rPr>
      </w:pPr>
      <w:r>
        <w:t xml:space="preserve">Se puede aplicar de manera simultánea con la vacuna, aunque en sitios diferentes de inyección. Esta se debe iniciar preferiblemente en las primeras 24 horas </w:t>
      </w:r>
      <w:proofErr w:type="spellStart"/>
      <w:r>
        <w:t>post-exposición</w:t>
      </w:r>
      <w:proofErr w:type="spellEnd"/>
      <w:r>
        <w:t xml:space="preserve">. Aplicadas dentro de este tiempo han mostrado ser 70% a 90% efectivas para prevenir la infección por hepatitis B, sin embargo, puede aplicarse hasta un plazo máximo de 7 días después de exposiciones percutáneas y hasta 14 días después de exposiciones sexuales. </w:t>
      </w:r>
      <w:r w:rsidRPr="00C0484C">
        <w:rPr>
          <w:lang w:val="en-US"/>
        </w:rPr>
        <w:t>16</w:t>
      </w:r>
    </w:p>
    <w:p w14:paraId="16AA13DD" w14:textId="363CBB2E" w:rsidR="00A13820" w:rsidRPr="00C0484C" w:rsidRDefault="00A13820" w:rsidP="00A13820">
      <w:pPr>
        <w:rPr>
          <w:lang w:val="en-US"/>
        </w:rPr>
      </w:pPr>
      <w:r w:rsidRPr="00A13820">
        <w:rPr>
          <w:lang w:val="en-US"/>
        </w:rPr>
        <w:t>16 Centers for Disease Control and Prevention. A Comprehensive Immunization Strategy to Eliminate Transmission of Hepatitis B Virus</w:t>
      </w:r>
      <w:r>
        <w:rPr>
          <w:lang w:val="en-US"/>
        </w:rPr>
        <w:t xml:space="preserve"> </w:t>
      </w:r>
      <w:r w:rsidRPr="00A13820">
        <w:rPr>
          <w:lang w:val="en-US"/>
        </w:rPr>
        <w:t>Infection in the United States. Recommendations of the Advisory Committee on Immunization Practices (ACIP) Part II: Immunization of</w:t>
      </w:r>
      <w:r>
        <w:rPr>
          <w:lang w:val="en-US"/>
        </w:rPr>
        <w:t xml:space="preserve"> </w:t>
      </w:r>
      <w:r w:rsidRPr="00A13820">
        <w:rPr>
          <w:lang w:val="en-US"/>
        </w:rPr>
        <w:t xml:space="preserve">Adults. MMWR Recommendations and Reports, December 8, 2006 / 55 (RR16); 1-25. </w:t>
      </w:r>
      <w:r w:rsidRPr="00C0484C">
        <w:rPr>
          <w:lang w:val="en-US"/>
        </w:rPr>
        <w:t xml:space="preserve">Disponible </w:t>
      </w:r>
      <w:proofErr w:type="spellStart"/>
      <w:r w:rsidRPr="00C0484C">
        <w:rPr>
          <w:lang w:val="en-US"/>
        </w:rPr>
        <w:t>en</w:t>
      </w:r>
      <w:proofErr w:type="spellEnd"/>
      <w:r w:rsidRPr="00C0484C">
        <w:rPr>
          <w:lang w:val="en-US"/>
        </w:rPr>
        <w:t xml:space="preserve"> </w:t>
      </w:r>
      <w:hyperlink r:id="rId10" w:history="1">
        <w:r w:rsidRPr="00C0484C">
          <w:rPr>
            <w:rStyle w:val="Hipervnculo"/>
            <w:lang w:val="en-US"/>
          </w:rPr>
          <w:t>https://www.cdc.gov/mmwr/preview/mmwrhtml/rr5516a1.htm</w:t>
        </w:r>
      </w:hyperlink>
    </w:p>
    <w:p w14:paraId="72063EB9" w14:textId="18F57FAE" w:rsidR="00A13820" w:rsidRDefault="00A13820" w:rsidP="00A13820">
      <w:proofErr w:type="gramStart"/>
      <w:r>
        <w:t>La dosis a aplicar</w:t>
      </w:r>
      <w:proofErr w:type="gramEnd"/>
      <w:r>
        <w:t xml:space="preserve"> de la gammaglobulina es aquella recomendada por el fabricante. En algunos casos es recomendable una dosis adicional a las cuatro semanas, por lo cual es importante revisar el inserto del fabricante.</w:t>
      </w:r>
    </w:p>
    <w:p w14:paraId="1D2FE7BE" w14:textId="00DBA93E" w:rsidR="00A13820" w:rsidRDefault="00A13820" w:rsidP="00A13820">
      <w:r>
        <w:t>En todos los casos se recomienda realizar una prueba de línea base (idealmente anti-</w:t>
      </w:r>
      <w:proofErr w:type="spellStart"/>
      <w:r>
        <w:t>HBc</w:t>
      </w:r>
      <w:proofErr w:type="spellEnd"/>
      <w:r>
        <w:t xml:space="preserve"> o en su defecto HBsAg) para infección por el VHB, lo más pronto posible después de la exposición, para determinar si la persona expuesta se encontraba infectada antes de la exposición. La no disponibilidad de estas pruebas no debe retardar el inicio de la profilaxis </w:t>
      </w:r>
      <w:proofErr w:type="spellStart"/>
      <w:r>
        <w:t>post-exposición</w:t>
      </w:r>
      <w:proofErr w:type="spellEnd"/>
      <w:r>
        <w:t>.</w:t>
      </w:r>
    </w:p>
    <w:p w14:paraId="69A36793" w14:textId="3CC9517D" w:rsidR="00A13820" w:rsidRDefault="00A13820" w:rsidP="00A13820"/>
    <w:p w14:paraId="1247EF25" w14:textId="6479C73A" w:rsidR="00A13820" w:rsidRDefault="00A13820" w:rsidP="00A13820">
      <w:pPr>
        <w:rPr>
          <w:b/>
          <w:bCs/>
        </w:rPr>
      </w:pPr>
      <w:r w:rsidRPr="00A13820">
        <w:rPr>
          <w:b/>
          <w:bCs/>
        </w:rPr>
        <w:t xml:space="preserve">Tabla 9. Recomendaciones para la profilaxis </w:t>
      </w:r>
      <w:proofErr w:type="spellStart"/>
      <w:r w:rsidRPr="00A13820">
        <w:rPr>
          <w:b/>
          <w:bCs/>
        </w:rPr>
        <w:t>post-exposición</w:t>
      </w:r>
      <w:proofErr w:type="spellEnd"/>
      <w:r w:rsidRPr="00A13820">
        <w:rPr>
          <w:b/>
          <w:bCs/>
        </w:rPr>
        <w:t xml:space="preserve"> no ocupacional* a sangre o fluidos corporales, de acuerdo al tipo de exposición y estado vacunal</w:t>
      </w:r>
    </w:p>
    <w:p w14:paraId="2EDCF7DA" w14:textId="42E08A9B" w:rsidR="00AA2753" w:rsidRDefault="00AA2753" w:rsidP="00A13820">
      <w:pPr>
        <w:rPr>
          <w:b/>
          <w:bCs/>
        </w:rPr>
      </w:pPr>
    </w:p>
    <w:p w14:paraId="3B322DF2" w14:textId="0F195F9B" w:rsidR="00C63BD4" w:rsidRDefault="00C63BD4" w:rsidP="00A13820">
      <w:pPr>
        <w:rPr>
          <w:b/>
          <w:bCs/>
        </w:rPr>
      </w:pPr>
    </w:p>
    <w:p w14:paraId="5B7563BF" w14:textId="77777777" w:rsidR="00C63BD4" w:rsidRDefault="00C63BD4" w:rsidP="00A13820">
      <w:pPr>
        <w:rPr>
          <w:b/>
          <w:bC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6"/>
        <w:gridCol w:w="2936"/>
        <w:gridCol w:w="2936"/>
      </w:tblGrid>
      <w:tr w:rsidR="00A13820" w14:paraId="599E7719" w14:textId="77777777" w:rsidTr="00451BBE">
        <w:tc>
          <w:tcPr>
            <w:tcW w:w="2942" w:type="dxa"/>
            <w:shd w:val="clear" w:color="auto" w:fill="AEAAAA" w:themeFill="background2" w:themeFillShade="BF"/>
          </w:tcPr>
          <w:p w14:paraId="46F136CA" w14:textId="017E10EE" w:rsidR="00A13820" w:rsidRPr="00A13820" w:rsidRDefault="00A13820" w:rsidP="00DC0712">
            <w:pPr>
              <w:jc w:val="center"/>
              <w:rPr>
                <w:b/>
                <w:bCs/>
                <w:sz w:val="20"/>
                <w:szCs w:val="20"/>
              </w:rPr>
            </w:pPr>
            <w:r w:rsidRPr="00A13820">
              <w:rPr>
                <w:b/>
                <w:bCs/>
                <w:sz w:val="20"/>
                <w:szCs w:val="20"/>
              </w:rPr>
              <w:lastRenderedPageBreak/>
              <w:t>Fuente de la exposición</w:t>
            </w:r>
          </w:p>
        </w:tc>
        <w:tc>
          <w:tcPr>
            <w:tcW w:w="2943" w:type="dxa"/>
            <w:shd w:val="clear" w:color="auto" w:fill="AEAAAA" w:themeFill="background2" w:themeFillShade="BF"/>
          </w:tcPr>
          <w:p w14:paraId="2ECFC311" w14:textId="42AB5E7E" w:rsidR="00A13820" w:rsidRPr="00A13820" w:rsidRDefault="00A13820" w:rsidP="00DC0712">
            <w:pPr>
              <w:jc w:val="center"/>
              <w:rPr>
                <w:b/>
                <w:bCs/>
                <w:sz w:val="20"/>
                <w:szCs w:val="20"/>
              </w:rPr>
            </w:pPr>
            <w:r w:rsidRPr="00A13820">
              <w:rPr>
                <w:b/>
                <w:bCs/>
                <w:sz w:val="20"/>
                <w:szCs w:val="20"/>
              </w:rPr>
              <w:t>Persona no vacunada o</w:t>
            </w:r>
            <w:r w:rsidR="00DC0712">
              <w:rPr>
                <w:b/>
                <w:bCs/>
                <w:sz w:val="20"/>
                <w:szCs w:val="20"/>
              </w:rPr>
              <w:t xml:space="preserve"> </w:t>
            </w:r>
            <w:r w:rsidRPr="00A13820">
              <w:rPr>
                <w:b/>
                <w:bCs/>
                <w:sz w:val="20"/>
                <w:szCs w:val="20"/>
              </w:rPr>
              <w:t>con</w:t>
            </w:r>
            <w:r w:rsidR="00DC0712">
              <w:rPr>
                <w:b/>
                <w:bCs/>
                <w:sz w:val="20"/>
                <w:szCs w:val="20"/>
              </w:rPr>
              <w:t xml:space="preserve"> </w:t>
            </w:r>
            <w:r w:rsidRPr="00A13820">
              <w:rPr>
                <w:b/>
                <w:bCs/>
                <w:sz w:val="20"/>
                <w:szCs w:val="20"/>
              </w:rPr>
              <w:t>esquema incompleto</w:t>
            </w:r>
            <w:r w:rsidR="00DC0712">
              <w:rPr>
                <w:b/>
                <w:bCs/>
                <w:sz w:val="20"/>
                <w:szCs w:val="20"/>
              </w:rPr>
              <w:t xml:space="preserve"> </w:t>
            </w:r>
            <w:r w:rsidRPr="00A13820">
              <w:rPr>
                <w:b/>
                <w:bCs/>
                <w:sz w:val="20"/>
                <w:szCs w:val="20"/>
              </w:rPr>
              <w:t>de</w:t>
            </w:r>
            <w:r w:rsidR="00DC0712">
              <w:rPr>
                <w:b/>
                <w:bCs/>
                <w:sz w:val="20"/>
                <w:szCs w:val="20"/>
              </w:rPr>
              <w:t xml:space="preserve"> </w:t>
            </w:r>
            <w:r w:rsidRPr="00A13820">
              <w:rPr>
                <w:b/>
                <w:bCs/>
                <w:sz w:val="20"/>
                <w:szCs w:val="20"/>
              </w:rPr>
              <w:t>vacunación</w:t>
            </w:r>
          </w:p>
        </w:tc>
        <w:tc>
          <w:tcPr>
            <w:tcW w:w="2943" w:type="dxa"/>
            <w:shd w:val="clear" w:color="auto" w:fill="AEAAAA" w:themeFill="background2" w:themeFillShade="BF"/>
          </w:tcPr>
          <w:p w14:paraId="737B3B4A" w14:textId="1DAABA26" w:rsidR="00A13820" w:rsidRPr="00DC0712" w:rsidRDefault="00DC0712" w:rsidP="00DC0712">
            <w:pPr>
              <w:jc w:val="center"/>
              <w:rPr>
                <w:b/>
                <w:bCs/>
                <w:sz w:val="20"/>
                <w:szCs w:val="20"/>
              </w:rPr>
            </w:pPr>
            <w:r w:rsidRPr="00DC0712">
              <w:rPr>
                <w:b/>
                <w:bCs/>
                <w:sz w:val="20"/>
                <w:szCs w:val="20"/>
              </w:rPr>
              <w:t>Persona previamente vacunada**</w:t>
            </w:r>
          </w:p>
        </w:tc>
      </w:tr>
      <w:tr w:rsidR="00DC0712" w14:paraId="4616AF10" w14:textId="77777777" w:rsidTr="00451BBE">
        <w:tc>
          <w:tcPr>
            <w:tcW w:w="8828" w:type="dxa"/>
            <w:gridSpan w:val="3"/>
          </w:tcPr>
          <w:p w14:paraId="55D0CB5E" w14:textId="1C8227DB" w:rsidR="00DC0712" w:rsidRDefault="00DC0712" w:rsidP="00DC0712">
            <w:pPr>
              <w:jc w:val="center"/>
              <w:rPr>
                <w:b/>
                <w:bCs/>
              </w:rPr>
            </w:pPr>
            <w:r w:rsidRPr="00DC0712">
              <w:rPr>
                <w:b/>
                <w:bCs/>
                <w:sz w:val="20"/>
                <w:szCs w:val="20"/>
              </w:rPr>
              <w:t>Fuente con antígeno de superficie para hepatitis B (HBsAg) positivo o estado serológico desconocido</w:t>
            </w:r>
          </w:p>
        </w:tc>
      </w:tr>
      <w:tr w:rsidR="00F340E3" w14:paraId="16078D5D" w14:textId="77777777" w:rsidTr="00451BBE">
        <w:tc>
          <w:tcPr>
            <w:tcW w:w="2942" w:type="dxa"/>
          </w:tcPr>
          <w:p w14:paraId="3AAE9396" w14:textId="77777777" w:rsidR="00F340E3" w:rsidRPr="00DC0712" w:rsidRDefault="00F340E3" w:rsidP="00DC0712">
            <w:pPr>
              <w:rPr>
                <w:sz w:val="20"/>
                <w:szCs w:val="20"/>
              </w:rPr>
            </w:pPr>
            <w:r w:rsidRPr="00DC0712">
              <w:rPr>
                <w:sz w:val="20"/>
                <w:szCs w:val="20"/>
              </w:rPr>
              <w:t>Exposición percutánea (mordedura, pinchazo) o mucosa a sangre o fluidos</w:t>
            </w:r>
          </w:p>
          <w:p w14:paraId="6F46D173" w14:textId="3E649705" w:rsidR="00F340E3" w:rsidRPr="00F340E3" w:rsidRDefault="00F340E3" w:rsidP="00DC0712">
            <w:pPr>
              <w:rPr>
                <w:sz w:val="20"/>
                <w:szCs w:val="20"/>
              </w:rPr>
            </w:pPr>
            <w:r w:rsidRPr="00DC0712">
              <w:rPr>
                <w:sz w:val="20"/>
                <w:szCs w:val="20"/>
              </w:rPr>
              <w:t>corporales de una persona positiva para HBsAg o estado serológico</w:t>
            </w:r>
            <w:r>
              <w:rPr>
                <w:sz w:val="20"/>
                <w:szCs w:val="20"/>
              </w:rPr>
              <w:t xml:space="preserve"> </w:t>
            </w:r>
            <w:r w:rsidRPr="00DC0712">
              <w:rPr>
                <w:sz w:val="20"/>
                <w:szCs w:val="20"/>
              </w:rPr>
              <w:t>desconocido.</w:t>
            </w:r>
          </w:p>
        </w:tc>
        <w:tc>
          <w:tcPr>
            <w:tcW w:w="2943" w:type="dxa"/>
            <w:vMerge w:val="restart"/>
          </w:tcPr>
          <w:p w14:paraId="3650E7B7" w14:textId="77777777" w:rsidR="00EA4FA7" w:rsidRDefault="00EA4FA7" w:rsidP="00EA4FA7">
            <w:pPr>
              <w:jc w:val="center"/>
              <w:rPr>
                <w:sz w:val="20"/>
                <w:szCs w:val="20"/>
              </w:rPr>
            </w:pPr>
          </w:p>
          <w:p w14:paraId="2BB06E27" w14:textId="77777777" w:rsidR="00EA4FA7" w:rsidRDefault="00EA4FA7" w:rsidP="00EA4FA7">
            <w:pPr>
              <w:jc w:val="center"/>
              <w:rPr>
                <w:sz w:val="20"/>
                <w:szCs w:val="20"/>
              </w:rPr>
            </w:pPr>
          </w:p>
          <w:p w14:paraId="565C7947" w14:textId="77777777" w:rsidR="00EA4FA7" w:rsidRDefault="00EA4FA7" w:rsidP="00EA4FA7">
            <w:pPr>
              <w:jc w:val="center"/>
              <w:rPr>
                <w:sz w:val="20"/>
                <w:szCs w:val="20"/>
              </w:rPr>
            </w:pPr>
          </w:p>
          <w:p w14:paraId="0ADE246A" w14:textId="2A7E9D12" w:rsidR="00F340E3" w:rsidRPr="00EA4FA7" w:rsidRDefault="00F340E3" w:rsidP="00EA4FA7">
            <w:pPr>
              <w:jc w:val="center"/>
              <w:rPr>
                <w:sz w:val="20"/>
                <w:szCs w:val="20"/>
              </w:rPr>
            </w:pPr>
            <w:r w:rsidRPr="00F340E3">
              <w:rPr>
                <w:sz w:val="20"/>
                <w:szCs w:val="20"/>
              </w:rPr>
              <w:t>Inicie o complete el</w:t>
            </w:r>
            <w:r w:rsidR="00EA4FA7">
              <w:rPr>
                <w:sz w:val="20"/>
                <w:szCs w:val="20"/>
              </w:rPr>
              <w:t xml:space="preserve"> </w:t>
            </w:r>
            <w:r w:rsidRPr="00F340E3">
              <w:rPr>
                <w:sz w:val="20"/>
                <w:szCs w:val="20"/>
              </w:rPr>
              <w:t>esquema de vacunación</w:t>
            </w:r>
            <w:r w:rsidR="00EA4FA7">
              <w:rPr>
                <w:sz w:val="20"/>
                <w:szCs w:val="20"/>
              </w:rPr>
              <w:t xml:space="preserve"> </w:t>
            </w:r>
            <w:r w:rsidRPr="00F340E3">
              <w:rPr>
                <w:sz w:val="20"/>
                <w:szCs w:val="20"/>
              </w:rPr>
              <w:t>contra la hepatitis B</w:t>
            </w:r>
            <w:r w:rsidR="00EA4FA7">
              <w:rPr>
                <w:sz w:val="20"/>
                <w:szCs w:val="20"/>
              </w:rPr>
              <w:t xml:space="preserve"> </w:t>
            </w:r>
            <w:r w:rsidRPr="00F340E3">
              <w:rPr>
                <w:sz w:val="20"/>
                <w:szCs w:val="20"/>
              </w:rPr>
              <w:t>(3 dosis en esquema 0, 1 y</w:t>
            </w:r>
            <w:r w:rsidR="00EA4FA7">
              <w:rPr>
                <w:sz w:val="20"/>
                <w:szCs w:val="20"/>
              </w:rPr>
              <w:t xml:space="preserve"> </w:t>
            </w:r>
            <w:r w:rsidRPr="00F340E3">
              <w:rPr>
                <w:sz w:val="20"/>
                <w:szCs w:val="20"/>
              </w:rPr>
              <w:t>6 meses) y la</w:t>
            </w:r>
            <w:r w:rsidR="00EA4FA7">
              <w:rPr>
                <w:sz w:val="20"/>
                <w:szCs w:val="20"/>
              </w:rPr>
              <w:t xml:space="preserve"> </w:t>
            </w:r>
            <w:r w:rsidRPr="00F340E3">
              <w:rPr>
                <w:sz w:val="20"/>
                <w:szCs w:val="20"/>
              </w:rPr>
              <w:t>gammaglobulina contra la</w:t>
            </w:r>
            <w:r w:rsidR="00EA4FA7">
              <w:rPr>
                <w:sz w:val="20"/>
                <w:szCs w:val="20"/>
              </w:rPr>
              <w:t xml:space="preserve"> </w:t>
            </w:r>
            <w:r w:rsidRPr="00F340E3">
              <w:rPr>
                <w:sz w:val="20"/>
                <w:szCs w:val="20"/>
              </w:rPr>
              <w:t>hepatitis B***</w:t>
            </w:r>
          </w:p>
        </w:tc>
        <w:tc>
          <w:tcPr>
            <w:tcW w:w="2943" w:type="dxa"/>
            <w:vMerge w:val="restart"/>
          </w:tcPr>
          <w:p w14:paraId="703BF4CB" w14:textId="77777777" w:rsidR="00EA4FA7" w:rsidRDefault="00EA4FA7" w:rsidP="00EA4FA7">
            <w:pPr>
              <w:jc w:val="center"/>
              <w:rPr>
                <w:sz w:val="20"/>
                <w:szCs w:val="20"/>
              </w:rPr>
            </w:pPr>
          </w:p>
          <w:p w14:paraId="59F2F051" w14:textId="77777777" w:rsidR="00EA4FA7" w:rsidRDefault="00EA4FA7" w:rsidP="00EA4FA7">
            <w:pPr>
              <w:jc w:val="center"/>
              <w:rPr>
                <w:sz w:val="20"/>
                <w:szCs w:val="20"/>
              </w:rPr>
            </w:pPr>
          </w:p>
          <w:p w14:paraId="350EAB36" w14:textId="77777777" w:rsidR="00EA4FA7" w:rsidRDefault="00EA4FA7" w:rsidP="00EA4FA7">
            <w:pPr>
              <w:jc w:val="center"/>
              <w:rPr>
                <w:sz w:val="20"/>
                <w:szCs w:val="20"/>
              </w:rPr>
            </w:pPr>
          </w:p>
          <w:p w14:paraId="07279EE6" w14:textId="57FA36A1" w:rsidR="00F340E3" w:rsidRPr="00EA4FA7" w:rsidRDefault="00F340E3" w:rsidP="00EA4FA7">
            <w:pPr>
              <w:jc w:val="center"/>
              <w:rPr>
                <w:sz w:val="20"/>
                <w:szCs w:val="20"/>
              </w:rPr>
            </w:pPr>
            <w:r w:rsidRPr="00EA4FA7">
              <w:rPr>
                <w:sz w:val="20"/>
                <w:szCs w:val="20"/>
              </w:rPr>
              <w:t>Administre preferiblemente</w:t>
            </w:r>
            <w:r w:rsidR="00EA4FA7">
              <w:rPr>
                <w:sz w:val="20"/>
                <w:szCs w:val="20"/>
              </w:rPr>
              <w:t xml:space="preserve"> </w:t>
            </w:r>
            <w:r w:rsidRPr="00EA4FA7">
              <w:rPr>
                <w:sz w:val="20"/>
                <w:szCs w:val="20"/>
              </w:rPr>
              <w:t>dentro de las primeras 24 horas una dosis de refuerzo</w:t>
            </w:r>
            <w:r w:rsidR="00EA4FA7">
              <w:rPr>
                <w:sz w:val="20"/>
                <w:szCs w:val="20"/>
              </w:rPr>
              <w:t xml:space="preserve"> </w:t>
            </w:r>
            <w:r w:rsidRPr="00EA4FA7">
              <w:rPr>
                <w:sz w:val="20"/>
                <w:szCs w:val="20"/>
              </w:rPr>
              <w:t>de vacuna contra la hepatitis B con un plazo máximo de 7 días.</w:t>
            </w:r>
          </w:p>
        </w:tc>
      </w:tr>
      <w:tr w:rsidR="00F340E3" w14:paraId="4812B539" w14:textId="77777777" w:rsidTr="00451BBE">
        <w:tc>
          <w:tcPr>
            <w:tcW w:w="2942" w:type="dxa"/>
          </w:tcPr>
          <w:p w14:paraId="3AC6D7EA" w14:textId="2D3E3B82" w:rsidR="00F340E3" w:rsidRPr="00DC0712" w:rsidRDefault="00F340E3" w:rsidP="00DC0712">
            <w:pPr>
              <w:rPr>
                <w:sz w:val="20"/>
                <w:szCs w:val="20"/>
              </w:rPr>
            </w:pPr>
            <w:r w:rsidRPr="00DC0712">
              <w:rPr>
                <w:sz w:val="20"/>
                <w:szCs w:val="20"/>
              </w:rPr>
              <w:t>Contacto sexual o uso</w:t>
            </w:r>
            <w:r>
              <w:rPr>
                <w:sz w:val="20"/>
                <w:szCs w:val="20"/>
              </w:rPr>
              <w:t xml:space="preserve"> </w:t>
            </w:r>
            <w:r w:rsidRPr="00DC0712">
              <w:rPr>
                <w:sz w:val="20"/>
                <w:szCs w:val="20"/>
              </w:rPr>
              <w:t>compartido de agujas con una</w:t>
            </w:r>
            <w:r>
              <w:rPr>
                <w:sz w:val="20"/>
                <w:szCs w:val="20"/>
              </w:rPr>
              <w:t xml:space="preserve"> </w:t>
            </w:r>
            <w:r w:rsidRPr="00DC0712">
              <w:rPr>
                <w:sz w:val="20"/>
                <w:szCs w:val="20"/>
              </w:rPr>
              <w:t>persona positiva para</w:t>
            </w:r>
            <w:r>
              <w:rPr>
                <w:sz w:val="20"/>
                <w:szCs w:val="20"/>
              </w:rPr>
              <w:t xml:space="preserve"> </w:t>
            </w:r>
            <w:r w:rsidRPr="00DC0712">
              <w:rPr>
                <w:sz w:val="20"/>
                <w:szCs w:val="20"/>
              </w:rPr>
              <w:t>HBsAg o estado serológico desconocido.</w:t>
            </w:r>
          </w:p>
        </w:tc>
        <w:tc>
          <w:tcPr>
            <w:tcW w:w="2943" w:type="dxa"/>
            <w:vMerge/>
          </w:tcPr>
          <w:p w14:paraId="79560F82" w14:textId="77777777" w:rsidR="00F340E3" w:rsidRDefault="00F340E3" w:rsidP="00A13820">
            <w:pPr>
              <w:rPr>
                <w:b/>
                <w:bCs/>
              </w:rPr>
            </w:pPr>
          </w:p>
        </w:tc>
        <w:tc>
          <w:tcPr>
            <w:tcW w:w="2943" w:type="dxa"/>
            <w:vMerge/>
          </w:tcPr>
          <w:p w14:paraId="759DF6D1" w14:textId="77777777" w:rsidR="00F340E3" w:rsidRDefault="00F340E3" w:rsidP="00A13820">
            <w:pPr>
              <w:rPr>
                <w:b/>
                <w:bCs/>
              </w:rPr>
            </w:pPr>
          </w:p>
        </w:tc>
      </w:tr>
      <w:tr w:rsidR="00F340E3" w14:paraId="6F18E5EE" w14:textId="77777777" w:rsidTr="00451BBE">
        <w:tc>
          <w:tcPr>
            <w:tcW w:w="2942" w:type="dxa"/>
          </w:tcPr>
          <w:p w14:paraId="10BF2AF2" w14:textId="5D1D6EAF" w:rsidR="00F340E3" w:rsidRPr="00F340E3" w:rsidRDefault="00F340E3" w:rsidP="00F340E3">
            <w:pPr>
              <w:rPr>
                <w:sz w:val="20"/>
                <w:szCs w:val="20"/>
              </w:rPr>
            </w:pPr>
            <w:r w:rsidRPr="00F340E3">
              <w:rPr>
                <w:sz w:val="20"/>
                <w:szCs w:val="20"/>
              </w:rPr>
              <w:t>Víctima de violencia sexual por un perpetrador que es positivo para HBsAg o</w:t>
            </w:r>
            <w:r>
              <w:rPr>
                <w:sz w:val="20"/>
                <w:szCs w:val="20"/>
              </w:rPr>
              <w:t xml:space="preserve"> </w:t>
            </w:r>
            <w:r w:rsidRPr="00F340E3">
              <w:rPr>
                <w:sz w:val="20"/>
                <w:szCs w:val="20"/>
              </w:rPr>
              <w:t>estado serológico desconocido.</w:t>
            </w:r>
          </w:p>
        </w:tc>
        <w:tc>
          <w:tcPr>
            <w:tcW w:w="2943" w:type="dxa"/>
            <w:vMerge/>
          </w:tcPr>
          <w:p w14:paraId="10DF3439" w14:textId="77777777" w:rsidR="00F340E3" w:rsidRDefault="00F340E3" w:rsidP="00A13820">
            <w:pPr>
              <w:rPr>
                <w:b/>
                <w:bCs/>
              </w:rPr>
            </w:pPr>
          </w:p>
        </w:tc>
        <w:tc>
          <w:tcPr>
            <w:tcW w:w="2943" w:type="dxa"/>
            <w:vMerge/>
          </w:tcPr>
          <w:p w14:paraId="5DE32BEC" w14:textId="77777777" w:rsidR="00F340E3" w:rsidRDefault="00F340E3" w:rsidP="00A13820">
            <w:pPr>
              <w:rPr>
                <w:b/>
                <w:bCs/>
              </w:rPr>
            </w:pPr>
          </w:p>
        </w:tc>
      </w:tr>
      <w:tr w:rsidR="00F340E3" w14:paraId="72E3823E" w14:textId="77777777" w:rsidTr="00451BBE">
        <w:tc>
          <w:tcPr>
            <w:tcW w:w="8828" w:type="dxa"/>
            <w:gridSpan w:val="3"/>
          </w:tcPr>
          <w:p w14:paraId="4C945DE9" w14:textId="5DC4B1C6" w:rsidR="00F340E3" w:rsidRPr="00F340E3" w:rsidRDefault="00F340E3" w:rsidP="00F340E3">
            <w:pPr>
              <w:jc w:val="center"/>
              <w:rPr>
                <w:b/>
                <w:bCs/>
              </w:rPr>
            </w:pPr>
            <w:r w:rsidRPr="00F340E3">
              <w:rPr>
                <w:b/>
                <w:bCs/>
                <w:sz w:val="20"/>
                <w:szCs w:val="20"/>
              </w:rPr>
              <w:t>Fuente con estado serológico negativo para HBsAg</w:t>
            </w:r>
          </w:p>
        </w:tc>
      </w:tr>
      <w:tr w:rsidR="00EA4FA7" w14:paraId="2DA52D1C" w14:textId="77777777" w:rsidTr="00451BBE">
        <w:tc>
          <w:tcPr>
            <w:tcW w:w="2942" w:type="dxa"/>
          </w:tcPr>
          <w:p w14:paraId="53855FFF" w14:textId="401D2F74" w:rsidR="00EA4FA7" w:rsidRPr="00EA4FA7" w:rsidRDefault="00EA4FA7" w:rsidP="00A13820">
            <w:pPr>
              <w:rPr>
                <w:sz w:val="20"/>
                <w:szCs w:val="20"/>
              </w:rPr>
            </w:pPr>
            <w:r w:rsidRPr="00EA4FA7">
              <w:rPr>
                <w:sz w:val="20"/>
                <w:szCs w:val="20"/>
              </w:rPr>
              <w:t>Víctima de violencia sexual por un perpetrador que es negativo para HBsAg.</w:t>
            </w:r>
          </w:p>
        </w:tc>
        <w:tc>
          <w:tcPr>
            <w:tcW w:w="2943" w:type="dxa"/>
            <w:vMerge w:val="restart"/>
          </w:tcPr>
          <w:p w14:paraId="3B4BC597" w14:textId="77777777" w:rsidR="00EA4FA7" w:rsidRDefault="00EA4FA7" w:rsidP="00EA4FA7">
            <w:pPr>
              <w:jc w:val="center"/>
              <w:rPr>
                <w:sz w:val="20"/>
                <w:szCs w:val="20"/>
              </w:rPr>
            </w:pPr>
          </w:p>
          <w:p w14:paraId="359F7721" w14:textId="77777777" w:rsidR="00EA4FA7" w:rsidRDefault="00EA4FA7" w:rsidP="00EA4FA7">
            <w:pPr>
              <w:jc w:val="center"/>
              <w:rPr>
                <w:sz w:val="20"/>
                <w:szCs w:val="20"/>
              </w:rPr>
            </w:pPr>
          </w:p>
          <w:p w14:paraId="31DD8FD0" w14:textId="77777777" w:rsidR="00EA4FA7" w:rsidRDefault="00EA4FA7" w:rsidP="00EA4FA7">
            <w:pPr>
              <w:jc w:val="center"/>
              <w:rPr>
                <w:sz w:val="20"/>
                <w:szCs w:val="20"/>
              </w:rPr>
            </w:pPr>
          </w:p>
          <w:p w14:paraId="68EE0C4D" w14:textId="77777777" w:rsidR="00EA4FA7" w:rsidRDefault="00EA4FA7" w:rsidP="00EA4FA7">
            <w:pPr>
              <w:jc w:val="center"/>
              <w:rPr>
                <w:sz w:val="20"/>
                <w:szCs w:val="20"/>
              </w:rPr>
            </w:pPr>
          </w:p>
          <w:p w14:paraId="2A857D51" w14:textId="77777777" w:rsidR="00EA4FA7" w:rsidRDefault="00EA4FA7" w:rsidP="00EA4FA7">
            <w:pPr>
              <w:jc w:val="center"/>
              <w:rPr>
                <w:sz w:val="20"/>
                <w:szCs w:val="20"/>
              </w:rPr>
            </w:pPr>
          </w:p>
          <w:p w14:paraId="3EC0A190" w14:textId="0F5AD40C" w:rsidR="00EA4FA7" w:rsidRPr="00EA4FA7" w:rsidRDefault="00EA4FA7" w:rsidP="00EA4FA7">
            <w:pPr>
              <w:jc w:val="center"/>
              <w:rPr>
                <w:sz w:val="20"/>
                <w:szCs w:val="20"/>
              </w:rPr>
            </w:pPr>
            <w:r w:rsidRPr="00EA4FA7">
              <w:rPr>
                <w:sz w:val="20"/>
                <w:szCs w:val="20"/>
              </w:rPr>
              <w:t>Inicie o complete el</w:t>
            </w:r>
            <w:r>
              <w:rPr>
                <w:sz w:val="20"/>
                <w:szCs w:val="20"/>
              </w:rPr>
              <w:t xml:space="preserve"> </w:t>
            </w:r>
            <w:r w:rsidRPr="00EA4FA7">
              <w:rPr>
                <w:sz w:val="20"/>
                <w:szCs w:val="20"/>
              </w:rPr>
              <w:t>esquema de vacunación</w:t>
            </w:r>
            <w:r>
              <w:rPr>
                <w:sz w:val="20"/>
                <w:szCs w:val="20"/>
              </w:rPr>
              <w:t xml:space="preserve"> </w:t>
            </w:r>
            <w:r w:rsidRPr="00EA4FA7">
              <w:rPr>
                <w:sz w:val="20"/>
                <w:szCs w:val="20"/>
              </w:rPr>
              <w:t>contra la hepatitis B</w:t>
            </w:r>
            <w:r>
              <w:rPr>
                <w:sz w:val="20"/>
                <w:szCs w:val="20"/>
              </w:rPr>
              <w:t xml:space="preserve"> </w:t>
            </w:r>
            <w:r w:rsidRPr="00EA4FA7">
              <w:rPr>
                <w:sz w:val="20"/>
                <w:szCs w:val="20"/>
              </w:rPr>
              <w:t>(3 dosis en esquema 0, 1 y</w:t>
            </w:r>
            <w:r>
              <w:rPr>
                <w:sz w:val="20"/>
                <w:szCs w:val="20"/>
              </w:rPr>
              <w:t xml:space="preserve"> </w:t>
            </w:r>
            <w:r w:rsidRPr="00EA4FA7">
              <w:rPr>
                <w:sz w:val="20"/>
                <w:szCs w:val="20"/>
              </w:rPr>
              <w:t>6 meses)</w:t>
            </w:r>
          </w:p>
        </w:tc>
        <w:tc>
          <w:tcPr>
            <w:tcW w:w="2943" w:type="dxa"/>
            <w:vMerge w:val="restart"/>
          </w:tcPr>
          <w:p w14:paraId="4B13259A" w14:textId="77777777" w:rsidR="00EA4FA7" w:rsidRDefault="00EA4FA7" w:rsidP="00EA4FA7">
            <w:pPr>
              <w:jc w:val="center"/>
              <w:rPr>
                <w:sz w:val="20"/>
                <w:szCs w:val="20"/>
              </w:rPr>
            </w:pPr>
          </w:p>
          <w:p w14:paraId="7A4F273E" w14:textId="77777777" w:rsidR="00EA4FA7" w:rsidRDefault="00EA4FA7" w:rsidP="00EA4FA7">
            <w:pPr>
              <w:jc w:val="center"/>
              <w:rPr>
                <w:sz w:val="20"/>
                <w:szCs w:val="20"/>
              </w:rPr>
            </w:pPr>
          </w:p>
          <w:p w14:paraId="50AD03A5" w14:textId="77777777" w:rsidR="00EA4FA7" w:rsidRDefault="00EA4FA7" w:rsidP="00EA4FA7">
            <w:pPr>
              <w:jc w:val="center"/>
              <w:rPr>
                <w:sz w:val="20"/>
                <w:szCs w:val="20"/>
              </w:rPr>
            </w:pPr>
          </w:p>
          <w:p w14:paraId="5EF046F4" w14:textId="77777777" w:rsidR="00EA4FA7" w:rsidRDefault="00EA4FA7" w:rsidP="00EA4FA7">
            <w:pPr>
              <w:jc w:val="center"/>
              <w:rPr>
                <w:sz w:val="20"/>
                <w:szCs w:val="20"/>
              </w:rPr>
            </w:pPr>
          </w:p>
          <w:p w14:paraId="79D05C1A" w14:textId="77777777" w:rsidR="00EA4FA7" w:rsidRDefault="00EA4FA7" w:rsidP="00EA4FA7">
            <w:pPr>
              <w:jc w:val="center"/>
              <w:rPr>
                <w:sz w:val="20"/>
                <w:szCs w:val="20"/>
              </w:rPr>
            </w:pPr>
          </w:p>
          <w:p w14:paraId="0F637820" w14:textId="77777777" w:rsidR="00EA4FA7" w:rsidRDefault="00EA4FA7" w:rsidP="00EA4FA7">
            <w:pPr>
              <w:jc w:val="center"/>
              <w:rPr>
                <w:sz w:val="20"/>
                <w:szCs w:val="20"/>
              </w:rPr>
            </w:pPr>
          </w:p>
          <w:p w14:paraId="4476D94E" w14:textId="496A559E" w:rsidR="00EA4FA7" w:rsidRDefault="00EA4FA7" w:rsidP="00EA4FA7">
            <w:pPr>
              <w:jc w:val="center"/>
              <w:rPr>
                <w:sz w:val="20"/>
                <w:szCs w:val="20"/>
              </w:rPr>
            </w:pPr>
            <w:r w:rsidRPr="00EA4FA7">
              <w:rPr>
                <w:sz w:val="20"/>
                <w:szCs w:val="20"/>
              </w:rPr>
              <w:t>No administre</w:t>
            </w:r>
            <w:r>
              <w:rPr>
                <w:sz w:val="20"/>
                <w:szCs w:val="20"/>
              </w:rPr>
              <w:t xml:space="preserve"> </w:t>
            </w:r>
            <w:r w:rsidRPr="00EA4FA7">
              <w:rPr>
                <w:sz w:val="20"/>
                <w:szCs w:val="20"/>
              </w:rPr>
              <w:t>tratamiento.</w:t>
            </w:r>
          </w:p>
          <w:p w14:paraId="001B7AB6" w14:textId="77777777" w:rsidR="00EA4FA7" w:rsidRDefault="00EA4FA7" w:rsidP="00EA4FA7">
            <w:pPr>
              <w:jc w:val="center"/>
              <w:rPr>
                <w:sz w:val="20"/>
                <w:szCs w:val="20"/>
              </w:rPr>
            </w:pPr>
          </w:p>
          <w:p w14:paraId="7F02E8AD" w14:textId="1E7B6D44" w:rsidR="00EA4FA7" w:rsidRPr="00EA4FA7" w:rsidRDefault="00EA4FA7" w:rsidP="00EA4FA7">
            <w:pPr>
              <w:jc w:val="center"/>
              <w:rPr>
                <w:sz w:val="20"/>
                <w:szCs w:val="20"/>
              </w:rPr>
            </w:pPr>
          </w:p>
        </w:tc>
      </w:tr>
      <w:tr w:rsidR="00EA4FA7" w14:paraId="15F3BC3F" w14:textId="77777777" w:rsidTr="00451BBE">
        <w:tc>
          <w:tcPr>
            <w:tcW w:w="2942" w:type="dxa"/>
          </w:tcPr>
          <w:p w14:paraId="48C70FB0" w14:textId="77777777" w:rsidR="00EA4FA7" w:rsidRPr="00EA4FA7" w:rsidRDefault="00EA4FA7" w:rsidP="00F340E3">
            <w:pPr>
              <w:rPr>
                <w:sz w:val="20"/>
                <w:szCs w:val="20"/>
              </w:rPr>
            </w:pPr>
            <w:r w:rsidRPr="00EA4FA7">
              <w:rPr>
                <w:sz w:val="20"/>
                <w:szCs w:val="20"/>
              </w:rPr>
              <w:t>Exposición percutánea (mordedura, pinchazo) o mucosa a sangre o fluidos</w:t>
            </w:r>
          </w:p>
          <w:p w14:paraId="015FFC68" w14:textId="265838A9" w:rsidR="00EA4FA7" w:rsidRPr="00EA4FA7" w:rsidRDefault="00EA4FA7" w:rsidP="00F340E3">
            <w:pPr>
              <w:rPr>
                <w:sz w:val="20"/>
                <w:szCs w:val="20"/>
              </w:rPr>
            </w:pPr>
            <w:r w:rsidRPr="00EA4FA7">
              <w:rPr>
                <w:sz w:val="20"/>
                <w:szCs w:val="20"/>
              </w:rPr>
              <w:t>corporales potencialmente infecciosos de una fuente con estado serológico negativo para HBsAg.</w:t>
            </w:r>
          </w:p>
        </w:tc>
        <w:tc>
          <w:tcPr>
            <w:tcW w:w="2943" w:type="dxa"/>
            <w:vMerge/>
          </w:tcPr>
          <w:p w14:paraId="5A62C153" w14:textId="77777777" w:rsidR="00EA4FA7" w:rsidRDefault="00EA4FA7" w:rsidP="00A13820">
            <w:pPr>
              <w:rPr>
                <w:b/>
                <w:bCs/>
              </w:rPr>
            </w:pPr>
          </w:p>
        </w:tc>
        <w:tc>
          <w:tcPr>
            <w:tcW w:w="2943" w:type="dxa"/>
            <w:vMerge/>
          </w:tcPr>
          <w:p w14:paraId="199F790E" w14:textId="77777777" w:rsidR="00EA4FA7" w:rsidRDefault="00EA4FA7" w:rsidP="00A13820">
            <w:pPr>
              <w:rPr>
                <w:b/>
                <w:bCs/>
              </w:rPr>
            </w:pPr>
          </w:p>
        </w:tc>
      </w:tr>
      <w:tr w:rsidR="00EA4FA7" w14:paraId="665188AD" w14:textId="77777777" w:rsidTr="00451BBE">
        <w:tc>
          <w:tcPr>
            <w:tcW w:w="2942" w:type="dxa"/>
          </w:tcPr>
          <w:p w14:paraId="7784E714" w14:textId="3E858C32" w:rsidR="00EA4FA7" w:rsidRPr="00EA4FA7" w:rsidRDefault="00EA4FA7" w:rsidP="00EA4FA7">
            <w:pPr>
              <w:rPr>
                <w:sz w:val="20"/>
                <w:szCs w:val="20"/>
              </w:rPr>
            </w:pPr>
            <w:r w:rsidRPr="00EA4FA7">
              <w:rPr>
                <w:sz w:val="20"/>
                <w:szCs w:val="20"/>
              </w:rPr>
              <w:t>Contacto sexual o uso compartido de agujas con una persona con estado</w:t>
            </w:r>
          </w:p>
          <w:p w14:paraId="429A8A10" w14:textId="1BF6C22C" w:rsidR="00EA4FA7" w:rsidRPr="00EA4FA7" w:rsidRDefault="00EA4FA7" w:rsidP="00EA4FA7">
            <w:pPr>
              <w:rPr>
                <w:b/>
                <w:bCs/>
                <w:sz w:val="20"/>
                <w:szCs w:val="20"/>
              </w:rPr>
            </w:pPr>
            <w:r w:rsidRPr="00EA4FA7">
              <w:rPr>
                <w:sz w:val="20"/>
                <w:szCs w:val="20"/>
              </w:rPr>
              <w:t>serológico negativo para HBsAg.</w:t>
            </w:r>
          </w:p>
        </w:tc>
        <w:tc>
          <w:tcPr>
            <w:tcW w:w="2943" w:type="dxa"/>
            <w:vMerge/>
          </w:tcPr>
          <w:p w14:paraId="3DAF58F6" w14:textId="77777777" w:rsidR="00EA4FA7" w:rsidRDefault="00EA4FA7" w:rsidP="00A13820">
            <w:pPr>
              <w:rPr>
                <w:b/>
                <w:bCs/>
              </w:rPr>
            </w:pPr>
          </w:p>
        </w:tc>
        <w:tc>
          <w:tcPr>
            <w:tcW w:w="2943" w:type="dxa"/>
            <w:vMerge/>
          </w:tcPr>
          <w:p w14:paraId="0AF4A458" w14:textId="77777777" w:rsidR="00EA4FA7" w:rsidRDefault="00EA4FA7" w:rsidP="00A13820">
            <w:pPr>
              <w:rPr>
                <w:b/>
                <w:bCs/>
              </w:rPr>
            </w:pPr>
          </w:p>
        </w:tc>
      </w:tr>
    </w:tbl>
    <w:p w14:paraId="44038DC1" w14:textId="77777777"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b/>
          <w:bCs/>
          <w:sz w:val="18"/>
          <w:szCs w:val="18"/>
        </w:rPr>
        <w:t xml:space="preserve">Fuente: </w:t>
      </w:r>
      <w:r w:rsidRPr="00EA4FA7">
        <w:rPr>
          <w:rFonts w:cstheme="minorHAnsi"/>
          <w:sz w:val="18"/>
          <w:szCs w:val="18"/>
        </w:rPr>
        <w:t xml:space="preserve">Modificado de CDC. Profilaxis </w:t>
      </w:r>
      <w:proofErr w:type="spellStart"/>
      <w:r w:rsidRPr="00EA4FA7">
        <w:rPr>
          <w:rFonts w:cstheme="minorHAnsi"/>
          <w:sz w:val="18"/>
          <w:szCs w:val="18"/>
        </w:rPr>
        <w:t>post-exposición</w:t>
      </w:r>
      <w:proofErr w:type="spellEnd"/>
      <w:r w:rsidRPr="00EA4FA7">
        <w:rPr>
          <w:rFonts w:cstheme="minorHAnsi"/>
          <w:sz w:val="18"/>
          <w:szCs w:val="18"/>
        </w:rPr>
        <w:t xml:space="preserve"> para prevenir la infección por el virus de la hepatitis B. MMWR </w:t>
      </w:r>
      <w:proofErr w:type="spellStart"/>
      <w:r w:rsidRPr="00EA4FA7">
        <w:rPr>
          <w:rFonts w:cstheme="minorHAnsi"/>
          <w:sz w:val="18"/>
          <w:szCs w:val="18"/>
        </w:rPr>
        <w:t>Recomm</w:t>
      </w:r>
      <w:proofErr w:type="spellEnd"/>
      <w:r w:rsidRPr="00EA4FA7">
        <w:rPr>
          <w:rFonts w:cstheme="minorHAnsi"/>
          <w:sz w:val="18"/>
          <w:szCs w:val="18"/>
        </w:rPr>
        <w:t xml:space="preserve">. </w:t>
      </w:r>
      <w:proofErr w:type="spellStart"/>
      <w:r w:rsidRPr="00EA4FA7">
        <w:rPr>
          <w:rFonts w:cstheme="minorHAnsi"/>
          <w:sz w:val="18"/>
          <w:szCs w:val="18"/>
        </w:rPr>
        <w:t>Rep</w:t>
      </w:r>
      <w:proofErr w:type="spellEnd"/>
      <w:r w:rsidRPr="00EA4FA7">
        <w:rPr>
          <w:rFonts w:cstheme="minorHAnsi"/>
          <w:sz w:val="18"/>
          <w:szCs w:val="18"/>
        </w:rPr>
        <w:t xml:space="preserve"> 2006; 55(No.RR-16)</w:t>
      </w:r>
    </w:p>
    <w:p w14:paraId="57621069" w14:textId="77777777"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sz w:val="18"/>
          <w:szCs w:val="18"/>
        </w:rPr>
        <w:t>Abreviaciones: HBsAg = antígeno de superficie para hepatitis B</w:t>
      </w:r>
    </w:p>
    <w:p w14:paraId="681C6A2D" w14:textId="77777777"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sz w:val="18"/>
          <w:szCs w:val="18"/>
        </w:rPr>
        <w:t>* Las indicaciones dadas en esta tabla aplican a exposiciones no ocupacionales. El manejo de exposiciones ocupacionales se presenta en otra tabla.</w:t>
      </w:r>
    </w:p>
    <w:p w14:paraId="25223EFA" w14:textId="77777777"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sz w:val="18"/>
          <w:szCs w:val="18"/>
        </w:rPr>
        <w:t xml:space="preserve">**Una persona que tiene documentación escrita de un esquema completo de vacunas contra la hepatitis B y que no tiene pruebas </w:t>
      </w:r>
      <w:proofErr w:type="spellStart"/>
      <w:r w:rsidRPr="00EA4FA7">
        <w:rPr>
          <w:rFonts w:cstheme="minorHAnsi"/>
          <w:sz w:val="18"/>
          <w:szCs w:val="18"/>
        </w:rPr>
        <w:t>post-vacunación</w:t>
      </w:r>
      <w:proofErr w:type="spellEnd"/>
      <w:r w:rsidRPr="00EA4FA7">
        <w:rPr>
          <w:rFonts w:cstheme="minorHAnsi"/>
          <w:sz w:val="18"/>
          <w:szCs w:val="18"/>
        </w:rPr>
        <w:t>.</w:t>
      </w:r>
    </w:p>
    <w:p w14:paraId="25CDA4E1" w14:textId="52B10DD9"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sz w:val="18"/>
          <w:szCs w:val="18"/>
        </w:rPr>
        <w:t>***La gammaglobulina debe aplicarse de manera simultánea con la primera dosis de vacuna contra la hepatitis B en sitios de aplicación diferente, preferiblemente</w:t>
      </w:r>
      <w:r>
        <w:rPr>
          <w:rFonts w:cstheme="minorHAnsi"/>
          <w:sz w:val="18"/>
          <w:szCs w:val="18"/>
        </w:rPr>
        <w:t xml:space="preserve"> </w:t>
      </w:r>
      <w:r w:rsidRPr="00EA4FA7">
        <w:rPr>
          <w:rFonts w:cstheme="minorHAnsi"/>
          <w:sz w:val="18"/>
          <w:szCs w:val="18"/>
        </w:rPr>
        <w:t>dentro de las primeras 12 a 24 horas de la exposición. Aplicadas dentro de este tiempo han mostrado ser 70% a 90% efectivas para prevenir la infección por hepatitis B.</w:t>
      </w:r>
    </w:p>
    <w:p w14:paraId="3E321210" w14:textId="39593345" w:rsidR="00EA4FA7" w:rsidRPr="00EA4FA7" w:rsidRDefault="00EA4FA7" w:rsidP="00EA4FA7">
      <w:pPr>
        <w:autoSpaceDE w:val="0"/>
        <w:autoSpaceDN w:val="0"/>
        <w:adjustRightInd w:val="0"/>
        <w:spacing w:after="0" w:line="240" w:lineRule="auto"/>
        <w:rPr>
          <w:rFonts w:cstheme="minorHAnsi"/>
          <w:sz w:val="18"/>
          <w:szCs w:val="18"/>
        </w:rPr>
      </w:pPr>
      <w:r w:rsidRPr="00EA4FA7">
        <w:rPr>
          <w:rFonts w:cstheme="minorHAnsi"/>
          <w:sz w:val="18"/>
          <w:szCs w:val="18"/>
        </w:rPr>
        <w:t>La dosis de gammaglobulina se aplica de acuerdo a lo indicado por el fabricante (inserto). Los estudios son limitados en el intervalo máximo después de la exposición</w:t>
      </w:r>
      <w:r>
        <w:rPr>
          <w:rFonts w:cstheme="minorHAnsi"/>
          <w:sz w:val="18"/>
          <w:szCs w:val="18"/>
        </w:rPr>
        <w:t xml:space="preserve"> </w:t>
      </w:r>
      <w:r w:rsidRPr="00EA4FA7">
        <w:rPr>
          <w:rFonts w:cstheme="minorHAnsi"/>
          <w:sz w:val="18"/>
          <w:szCs w:val="18"/>
        </w:rPr>
        <w:t xml:space="preserve">durante el cual la profilaxis </w:t>
      </w:r>
      <w:proofErr w:type="spellStart"/>
      <w:r w:rsidRPr="00EA4FA7">
        <w:rPr>
          <w:rFonts w:cstheme="minorHAnsi"/>
          <w:sz w:val="18"/>
          <w:szCs w:val="18"/>
        </w:rPr>
        <w:t>post-exposición</w:t>
      </w:r>
      <w:proofErr w:type="spellEnd"/>
      <w:r w:rsidRPr="00EA4FA7">
        <w:rPr>
          <w:rFonts w:cstheme="minorHAnsi"/>
          <w:sz w:val="18"/>
          <w:szCs w:val="18"/>
        </w:rPr>
        <w:t xml:space="preserve"> es efectiva, pero el intervalo es poco probable que exceda los 7 días para exposiciones percutáneas o 14 días para</w:t>
      </w:r>
    </w:p>
    <w:p w14:paraId="7C587959" w14:textId="6D6D2767" w:rsidR="00A13820" w:rsidRDefault="00EA4FA7" w:rsidP="00EA4FA7">
      <w:pPr>
        <w:rPr>
          <w:rFonts w:cstheme="minorHAnsi"/>
          <w:sz w:val="18"/>
          <w:szCs w:val="18"/>
        </w:rPr>
      </w:pPr>
      <w:r w:rsidRPr="00EA4FA7">
        <w:rPr>
          <w:rFonts w:cstheme="minorHAnsi"/>
          <w:sz w:val="18"/>
          <w:szCs w:val="18"/>
        </w:rPr>
        <w:t>exposiciones sexuales.</w:t>
      </w:r>
    </w:p>
    <w:p w14:paraId="0F8D9800" w14:textId="460CFBF6" w:rsidR="00EA4FA7" w:rsidRDefault="00EA4FA7" w:rsidP="00EA4FA7">
      <w:pPr>
        <w:rPr>
          <w:rFonts w:cstheme="minorHAnsi"/>
          <w:sz w:val="18"/>
          <w:szCs w:val="18"/>
        </w:rPr>
      </w:pPr>
    </w:p>
    <w:p w14:paraId="7B2ADC8A" w14:textId="1983F290" w:rsidR="00EA4FA7" w:rsidRDefault="00EA4FA7" w:rsidP="00EA4FA7">
      <w:pPr>
        <w:rPr>
          <w:rFonts w:cstheme="minorHAnsi"/>
          <w:b/>
          <w:bCs/>
        </w:rPr>
      </w:pPr>
      <w:r w:rsidRPr="00EA4FA7">
        <w:rPr>
          <w:rFonts w:cstheme="minorHAnsi"/>
          <w:b/>
          <w:bCs/>
        </w:rPr>
        <w:t xml:space="preserve">Tabla 10. Manejo </w:t>
      </w:r>
      <w:proofErr w:type="spellStart"/>
      <w:r w:rsidRPr="00EA4FA7">
        <w:rPr>
          <w:rFonts w:cstheme="minorHAnsi"/>
          <w:b/>
          <w:bCs/>
        </w:rPr>
        <w:t>post-exposición</w:t>
      </w:r>
      <w:proofErr w:type="spellEnd"/>
      <w:r w:rsidRPr="00EA4FA7">
        <w:rPr>
          <w:rFonts w:cstheme="minorHAnsi"/>
          <w:b/>
          <w:bCs/>
        </w:rPr>
        <w:t xml:space="preserve"> ocupacional a sangre y fluidos corporales, percutánea o mucosa, de acuerdo al estado de vacunación de la persona expuesta y respuesta inmunológica a la vacuna contra la hepatitis B.</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0"/>
        <w:gridCol w:w="1390"/>
        <w:gridCol w:w="1394"/>
        <w:gridCol w:w="1602"/>
        <w:gridCol w:w="111"/>
        <w:gridCol w:w="1359"/>
        <w:gridCol w:w="41"/>
        <w:gridCol w:w="1471"/>
      </w:tblGrid>
      <w:tr w:rsidR="0025210F" w14:paraId="65B4C1F1" w14:textId="77777777" w:rsidTr="00451BBE">
        <w:trPr>
          <w:trHeight w:val="419"/>
        </w:trPr>
        <w:tc>
          <w:tcPr>
            <w:tcW w:w="1440" w:type="dxa"/>
            <w:vMerge w:val="restart"/>
          </w:tcPr>
          <w:p w14:paraId="7B56A0BF" w14:textId="77777777" w:rsidR="0025210F" w:rsidRPr="0025210F" w:rsidRDefault="0025210F" w:rsidP="0025210F">
            <w:pPr>
              <w:jc w:val="center"/>
              <w:rPr>
                <w:rFonts w:cstheme="minorHAnsi"/>
                <w:b/>
                <w:bCs/>
                <w:sz w:val="20"/>
                <w:szCs w:val="20"/>
              </w:rPr>
            </w:pPr>
            <w:r w:rsidRPr="0025210F">
              <w:rPr>
                <w:rFonts w:cstheme="minorHAnsi"/>
                <w:b/>
                <w:bCs/>
                <w:sz w:val="20"/>
                <w:szCs w:val="20"/>
              </w:rPr>
              <w:t>Estado de la</w:t>
            </w:r>
          </w:p>
          <w:p w14:paraId="1046CBB0" w14:textId="35E47948" w:rsidR="0025210F" w:rsidRDefault="0025210F" w:rsidP="0025210F">
            <w:pPr>
              <w:jc w:val="center"/>
              <w:rPr>
                <w:rFonts w:cstheme="minorHAnsi"/>
                <w:b/>
                <w:bCs/>
              </w:rPr>
            </w:pPr>
            <w:r w:rsidRPr="0025210F">
              <w:rPr>
                <w:rFonts w:cstheme="minorHAnsi"/>
                <w:b/>
                <w:bCs/>
                <w:sz w:val="20"/>
                <w:szCs w:val="20"/>
              </w:rPr>
              <w:t>Persona</w:t>
            </w:r>
            <w:r>
              <w:rPr>
                <w:rFonts w:cstheme="minorHAnsi"/>
                <w:b/>
                <w:bCs/>
                <w:sz w:val="20"/>
                <w:szCs w:val="20"/>
              </w:rPr>
              <w:t xml:space="preserve"> </w:t>
            </w:r>
            <w:r w:rsidRPr="0025210F">
              <w:rPr>
                <w:rFonts w:cstheme="minorHAnsi"/>
                <w:b/>
                <w:bCs/>
                <w:sz w:val="20"/>
                <w:szCs w:val="20"/>
              </w:rPr>
              <w:t>expuesta</w:t>
            </w:r>
          </w:p>
        </w:tc>
        <w:tc>
          <w:tcPr>
            <w:tcW w:w="1394" w:type="dxa"/>
            <w:vMerge w:val="restart"/>
          </w:tcPr>
          <w:p w14:paraId="7AC6ABA4" w14:textId="77777777" w:rsidR="0025210F" w:rsidRPr="0025210F" w:rsidRDefault="0025210F" w:rsidP="0025210F">
            <w:pPr>
              <w:jc w:val="center"/>
              <w:rPr>
                <w:rFonts w:cstheme="minorHAnsi"/>
                <w:b/>
                <w:bCs/>
                <w:sz w:val="20"/>
                <w:szCs w:val="20"/>
              </w:rPr>
            </w:pPr>
            <w:r w:rsidRPr="0025210F">
              <w:rPr>
                <w:rFonts w:cstheme="minorHAnsi"/>
                <w:b/>
                <w:bCs/>
                <w:sz w:val="20"/>
                <w:szCs w:val="20"/>
              </w:rPr>
              <w:t>Paciente fuente</w:t>
            </w:r>
          </w:p>
          <w:p w14:paraId="0700D02B" w14:textId="32B3994E" w:rsidR="0025210F" w:rsidRDefault="0025210F" w:rsidP="0025210F">
            <w:pPr>
              <w:jc w:val="center"/>
              <w:rPr>
                <w:rFonts w:cstheme="minorHAnsi"/>
                <w:b/>
                <w:bCs/>
              </w:rPr>
            </w:pPr>
            <w:r w:rsidRPr="0025210F">
              <w:rPr>
                <w:rFonts w:cstheme="minorHAnsi"/>
                <w:b/>
                <w:bCs/>
                <w:sz w:val="20"/>
                <w:szCs w:val="20"/>
              </w:rPr>
              <w:t>(HBsAg)</w:t>
            </w:r>
          </w:p>
        </w:tc>
        <w:tc>
          <w:tcPr>
            <w:tcW w:w="1401" w:type="dxa"/>
            <w:vMerge w:val="restart"/>
          </w:tcPr>
          <w:p w14:paraId="453EC20F" w14:textId="2ED3812C" w:rsidR="0025210F" w:rsidRPr="0025210F" w:rsidRDefault="0025210F" w:rsidP="0025210F">
            <w:pPr>
              <w:jc w:val="center"/>
              <w:rPr>
                <w:rFonts w:cstheme="minorHAnsi"/>
                <w:b/>
                <w:bCs/>
                <w:sz w:val="20"/>
                <w:szCs w:val="20"/>
              </w:rPr>
            </w:pPr>
            <w:r w:rsidRPr="0025210F">
              <w:rPr>
                <w:rFonts w:cstheme="minorHAnsi"/>
                <w:b/>
                <w:bCs/>
                <w:sz w:val="20"/>
                <w:szCs w:val="20"/>
              </w:rPr>
              <w:t>Respuesta</w:t>
            </w:r>
            <w:r>
              <w:rPr>
                <w:rFonts w:cstheme="minorHAnsi"/>
                <w:b/>
                <w:bCs/>
                <w:sz w:val="20"/>
                <w:szCs w:val="20"/>
              </w:rPr>
              <w:t xml:space="preserve"> </w:t>
            </w:r>
            <w:r w:rsidRPr="0025210F">
              <w:rPr>
                <w:rFonts w:cstheme="minorHAnsi"/>
                <w:b/>
                <w:bCs/>
                <w:sz w:val="20"/>
                <w:szCs w:val="20"/>
              </w:rPr>
              <w:t>conocida a</w:t>
            </w:r>
            <w:r>
              <w:rPr>
                <w:rFonts w:cstheme="minorHAnsi"/>
                <w:b/>
                <w:bCs/>
                <w:sz w:val="20"/>
                <w:szCs w:val="20"/>
              </w:rPr>
              <w:t xml:space="preserve"> </w:t>
            </w:r>
            <w:r w:rsidRPr="0025210F">
              <w:rPr>
                <w:rFonts w:cstheme="minorHAnsi"/>
                <w:b/>
                <w:bCs/>
                <w:sz w:val="20"/>
                <w:szCs w:val="20"/>
              </w:rPr>
              <w:t>vacunación</w:t>
            </w:r>
            <w:r>
              <w:rPr>
                <w:rFonts w:cstheme="minorHAnsi"/>
                <w:b/>
                <w:bCs/>
                <w:sz w:val="20"/>
                <w:szCs w:val="20"/>
              </w:rPr>
              <w:t xml:space="preserve"> </w:t>
            </w:r>
            <w:r w:rsidRPr="0025210F">
              <w:rPr>
                <w:rFonts w:cstheme="minorHAnsi"/>
                <w:b/>
                <w:bCs/>
                <w:sz w:val="20"/>
                <w:szCs w:val="20"/>
              </w:rPr>
              <w:t>contra</w:t>
            </w:r>
            <w:r>
              <w:rPr>
                <w:rFonts w:cstheme="minorHAnsi"/>
                <w:b/>
                <w:bCs/>
                <w:sz w:val="20"/>
                <w:szCs w:val="20"/>
              </w:rPr>
              <w:t xml:space="preserve"> </w:t>
            </w:r>
            <w:r w:rsidRPr="0025210F">
              <w:rPr>
                <w:rFonts w:cstheme="minorHAnsi"/>
                <w:b/>
                <w:bCs/>
                <w:sz w:val="20"/>
                <w:szCs w:val="20"/>
              </w:rPr>
              <w:t>la</w:t>
            </w:r>
            <w:r>
              <w:rPr>
                <w:rFonts w:cstheme="minorHAnsi"/>
                <w:b/>
                <w:bCs/>
                <w:sz w:val="20"/>
                <w:szCs w:val="20"/>
              </w:rPr>
              <w:t xml:space="preserve"> </w:t>
            </w:r>
            <w:r w:rsidRPr="0025210F">
              <w:rPr>
                <w:rFonts w:cstheme="minorHAnsi"/>
                <w:b/>
                <w:bCs/>
                <w:sz w:val="20"/>
                <w:szCs w:val="20"/>
              </w:rPr>
              <w:t>hepatitis B en</w:t>
            </w:r>
            <w:r>
              <w:rPr>
                <w:rFonts w:cstheme="minorHAnsi"/>
                <w:b/>
                <w:bCs/>
                <w:sz w:val="20"/>
                <w:szCs w:val="20"/>
              </w:rPr>
              <w:t xml:space="preserve"> </w:t>
            </w:r>
            <w:r w:rsidRPr="0025210F">
              <w:rPr>
                <w:rFonts w:cstheme="minorHAnsi"/>
                <w:b/>
                <w:bCs/>
                <w:sz w:val="20"/>
                <w:szCs w:val="20"/>
              </w:rPr>
              <w:t>la</w:t>
            </w:r>
            <w:r>
              <w:rPr>
                <w:rFonts w:cstheme="minorHAnsi"/>
                <w:b/>
                <w:bCs/>
                <w:sz w:val="20"/>
                <w:szCs w:val="20"/>
              </w:rPr>
              <w:t xml:space="preserve"> </w:t>
            </w:r>
            <w:r w:rsidRPr="0025210F">
              <w:rPr>
                <w:rFonts w:cstheme="minorHAnsi"/>
                <w:b/>
                <w:bCs/>
                <w:sz w:val="20"/>
                <w:szCs w:val="20"/>
              </w:rPr>
              <w:t>persona</w:t>
            </w:r>
            <w:r>
              <w:rPr>
                <w:rFonts w:cstheme="minorHAnsi"/>
                <w:b/>
                <w:bCs/>
                <w:sz w:val="20"/>
                <w:szCs w:val="20"/>
              </w:rPr>
              <w:t xml:space="preserve"> </w:t>
            </w:r>
            <w:r w:rsidRPr="0025210F">
              <w:rPr>
                <w:rFonts w:cstheme="minorHAnsi"/>
                <w:b/>
                <w:bCs/>
                <w:sz w:val="20"/>
                <w:szCs w:val="20"/>
              </w:rPr>
              <w:t>expuesta</w:t>
            </w:r>
            <w:r>
              <w:rPr>
                <w:rFonts w:cstheme="minorHAnsi"/>
                <w:b/>
                <w:bCs/>
                <w:sz w:val="20"/>
                <w:szCs w:val="20"/>
              </w:rPr>
              <w:t xml:space="preserve"> </w:t>
            </w:r>
            <w:r w:rsidRPr="0025210F">
              <w:rPr>
                <w:rFonts w:cstheme="minorHAnsi"/>
                <w:b/>
                <w:bCs/>
                <w:sz w:val="20"/>
                <w:szCs w:val="20"/>
              </w:rPr>
              <w:t>(anti-</w:t>
            </w:r>
            <w:proofErr w:type="spellStart"/>
            <w:r w:rsidRPr="0025210F">
              <w:rPr>
                <w:rFonts w:cstheme="minorHAnsi"/>
                <w:b/>
                <w:bCs/>
                <w:sz w:val="20"/>
                <w:szCs w:val="20"/>
              </w:rPr>
              <w:t>HBs</w:t>
            </w:r>
            <w:proofErr w:type="spellEnd"/>
            <w:r w:rsidRPr="0025210F">
              <w:rPr>
                <w:rFonts w:cstheme="minorHAnsi"/>
                <w:b/>
                <w:bCs/>
                <w:sz w:val="20"/>
                <w:szCs w:val="20"/>
              </w:rPr>
              <w:t>)*</w:t>
            </w:r>
          </w:p>
        </w:tc>
        <w:tc>
          <w:tcPr>
            <w:tcW w:w="3122" w:type="dxa"/>
            <w:gridSpan w:val="4"/>
          </w:tcPr>
          <w:p w14:paraId="2000C197" w14:textId="6389BB54" w:rsidR="0025210F" w:rsidRDefault="0025210F" w:rsidP="0025210F">
            <w:pPr>
              <w:jc w:val="center"/>
              <w:rPr>
                <w:rFonts w:cstheme="minorHAnsi"/>
                <w:b/>
                <w:bCs/>
              </w:rPr>
            </w:pPr>
            <w:r w:rsidRPr="0025210F">
              <w:rPr>
                <w:rFonts w:cstheme="minorHAnsi"/>
                <w:b/>
                <w:bCs/>
                <w:sz w:val="20"/>
                <w:szCs w:val="20"/>
              </w:rPr>
              <w:t xml:space="preserve">Profilaxis </w:t>
            </w:r>
            <w:proofErr w:type="spellStart"/>
            <w:r w:rsidRPr="0025210F">
              <w:rPr>
                <w:rFonts w:cstheme="minorHAnsi"/>
                <w:b/>
                <w:bCs/>
                <w:sz w:val="20"/>
                <w:szCs w:val="20"/>
              </w:rPr>
              <w:t>post-exposición</w:t>
            </w:r>
            <w:proofErr w:type="spellEnd"/>
          </w:p>
        </w:tc>
        <w:tc>
          <w:tcPr>
            <w:tcW w:w="1471" w:type="dxa"/>
            <w:vMerge w:val="restart"/>
          </w:tcPr>
          <w:p w14:paraId="255B9AC5" w14:textId="77777777" w:rsidR="0025210F" w:rsidRDefault="0025210F" w:rsidP="0025210F">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Prueba serológica</w:t>
            </w:r>
          </w:p>
          <w:p w14:paraId="464D4963" w14:textId="77777777" w:rsidR="0025210F" w:rsidRDefault="0025210F" w:rsidP="0025210F">
            <w:pPr>
              <w:autoSpaceDE w:val="0"/>
              <w:autoSpaceDN w:val="0"/>
              <w:adjustRightInd w:val="0"/>
              <w:jc w:val="center"/>
              <w:rPr>
                <w:rFonts w:ascii="Arial-BoldMT" w:hAnsi="Arial-BoldMT" w:cs="Arial-BoldMT"/>
                <w:b/>
                <w:bCs/>
                <w:sz w:val="18"/>
                <w:szCs w:val="18"/>
              </w:rPr>
            </w:pPr>
            <w:r>
              <w:rPr>
                <w:rFonts w:ascii="Arial-BoldMT" w:hAnsi="Arial-BoldMT" w:cs="Arial-BoldMT"/>
                <w:b/>
                <w:bCs/>
                <w:sz w:val="18"/>
                <w:szCs w:val="18"/>
              </w:rPr>
              <w:t>anti-</w:t>
            </w:r>
            <w:proofErr w:type="spellStart"/>
            <w:r>
              <w:rPr>
                <w:rFonts w:ascii="Arial-BoldMT" w:hAnsi="Arial-BoldMT" w:cs="Arial-BoldMT"/>
                <w:b/>
                <w:bCs/>
                <w:sz w:val="18"/>
                <w:szCs w:val="18"/>
              </w:rPr>
              <w:t>HBs</w:t>
            </w:r>
            <w:proofErr w:type="spellEnd"/>
            <w:r>
              <w:rPr>
                <w:rFonts w:ascii="Arial-BoldMT" w:hAnsi="Arial-BoldMT" w:cs="Arial-BoldMT"/>
                <w:b/>
                <w:bCs/>
                <w:sz w:val="18"/>
                <w:szCs w:val="18"/>
              </w:rPr>
              <w:t xml:space="preserve"> post-</w:t>
            </w:r>
          </w:p>
          <w:p w14:paraId="580F802A" w14:textId="04833EB1" w:rsidR="0025210F" w:rsidRDefault="0025210F" w:rsidP="0025210F">
            <w:pPr>
              <w:jc w:val="center"/>
              <w:rPr>
                <w:rFonts w:cstheme="minorHAnsi"/>
                <w:b/>
                <w:bCs/>
              </w:rPr>
            </w:pPr>
            <w:r>
              <w:rPr>
                <w:rFonts w:ascii="Arial-BoldMT" w:hAnsi="Arial-BoldMT" w:cs="Arial-BoldMT"/>
                <w:b/>
                <w:bCs/>
                <w:sz w:val="18"/>
                <w:szCs w:val="18"/>
              </w:rPr>
              <w:t>vacunación.***</w:t>
            </w:r>
          </w:p>
        </w:tc>
      </w:tr>
      <w:tr w:rsidR="0025210F" w14:paraId="60C77EDA" w14:textId="77777777" w:rsidTr="00451BBE">
        <w:tc>
          <w:tcPr>
            <w:tcW w:w="1440" w:type="dxa"/>
            <w:vMerge/>
          </w:tcPr>
          <w:p w14:paraId="62812FF6" w14:textId="77777777" w:rsidR="0025210F" w:rsidRDefault="0025210F" w:rsidP="00EA4FA7">
            <w:pPr>
              <w:rPr>
                <w:rFonts w:cstheme="minorHAnsi"/>
                <w:b/>
                <w:bCs/>
              </w:rPr>
            </w:pPr>
          </w:p>
        </w:tc>
        <w:tc>
          <w:tcPr>
            <w:tcW w:w="1394" w:type="dxa"/>
            <w:vMerge/>
          </w:tcPr>
          <w:p w14:paraId="1119E269" w14:textId="77777777" w:rsidR="0025210F" w:rsidRDefault="0025210F" w:rsidP="00EA4FA7">
            <w:pPr>
              <w:rPr>
                <w:rFonts w:cstheme="minorHAnsi"/>
                <w:b/>
                <w:bCs/>
              </w:rPr>
            </w:pPr>
          </w:p>
        </w:tc>
        <w:tc>
          <w:tcPr>
            <w:tcW w:w="1401" w:type="dxa"/>
            <w:vMerge/>
          </w:tcPr>
          <w:p w14:paraId="290F9B28" w14:textId="77777777" w:rsidR="0025210F" w:rsidRDefault="0025210F" w:rsidP="00EA4FA7">
            <w:pPr>
              <w:rPr>
                <w:rFonts w:cstheme="minorHAnsi"/>
                <w:b/>
                <w:bCs/>
              </w:rPr>
            </w:pPr>
          </w:p>
        </w:tc>
        <w:tc>
          <w:tcPr>
            <w:tcW w:w="1715" w:type="dxa"/>
            <w:gridSpan w:val="2"/>
          </w:tcPr>
          <w:p w14:paraId="7E2BE993" w14:textId="77777777" w:rsidR="0025210F" w:rsidRPr="0025210F" w:rsidRDefault="0025210F" w:rsidP="0025210F">
            <w:pPr>
              <w:autoSpaceDE w:val="0"/>
              <w:autoSpaceDN w:val="0"/>
              <w:adjustRightInd w:val="0"/>
              <w:jc w:val="center"/>
              <w:rPr>
                <w:rFonts w:cstheme="minorHAnsi"/>
                <w:b/>
                <w:bCs/>
                <w:sz w:val="20"/>
                <w:szCs w:val="20"/>
              </w:rPr>
            </w:pPr>
            <w:r w:rsidRPr="0025210F">
              <w:rPr>
                <w:rFonts w:cstheme="minorHAnsi"/>
                <w:b/>
                <w:bCs/>
                <w:sz w:val="20"/>
                <w:szCs w:val="20"/>
              </w:rPr>
              <w:t>Gammaglobulina vacunación.***</w:t>
            </w:r>
          </w:p>
          <w:p w14:paraId="56C00C2C" w14:textId="23863388" w:rsidR="0025210F" w:rsidRPr="0025210F" w:rsidRDefault="0025210F" w:rsidP="0025210F">
            <w:pPr>
              <w:jc w:val="center"/>
              <w:rPr>
                <w:rFonts w:cstheme="minorHAnsi"/>
                <w:b/>
                <w:bCs/>
                <w:sz w:val="20"/>
                <w:szCs w:val="20"/>
              </w:rPr>
            </w:pPr>
          </w:p>
        </w:tc>
        <w:tc>
          <w:tcPr>
            <w:tcW w:w="1407" w:type="dxa"/>
            <w:gridSpan w:val="2"/>
          </w:tcPr>
          <w:p w14:paraId="209FC822" w14:textId="11ED2363" w:rsidR="0025210F" w:rsidRPr="0025210F" w:rsidRDefault="0025210F" w:rsidP="0025210F">
            <w:pPr>
              <w:jc w:val="center"/>
              <w:rPr>
                <w:rFonts w:cstheme="minorHAnsi"/>
                <w:b/>
                <w:bCs/>
                <w:sz w:val="20"/>
                <w:szCs w:val="20"/>
              </w:rPr>
            </w:pPr>
            <w:r w:rsidRPr="0025210F">
              <w:rPr>
                <w:rFonts w:cstheme="minorHAnsi"/>
                <w:b/>
                <w:bCs/>
                <w:sz w:val="20"/>
                <w:szCs w:val="20"/>
              </w:rPr>
              <w:t>Vacunación</w:t>
            </w:r>
          </w:p>
        </w:tc>
        <w:tc>
          <w:tcPr>
            <w:tcW w:w="1471" w:type="dxa"/>
            <w:vMerge/>
          </w:tcPr>
          <w:p w14:paraId="2CCD7328" w14:textId="77777777" w:rsidR="0025210F" w:rsidRDefault="0025210F" w:rsidP="00EA4FA7">
            <w:pPr>
              <w:rPr>
                <w:rFonts w:cstheme="minorHAnsi"/>
                <w:b/>
                <w:bCs/>
              </w:rPr>
            </w:pPr>
          </w:p>
        </w:tc>
      </w:tr>
      <w:tr w:rsidR="00380F34" w14:paraId="48DC6501" w14:textId="77777777" w:rsidTr="00451BBE">
        <w:tc>
          <w:tcPr>
            <w:tcW w:w="1440" w:type="dxa"/>
          </w:tcPr>
          <w:p w14:paraId="51639E87" w14:textId="61E08280" w:rsidR="00380F34" w:rsidRPr="0025210F" w:rsidRDefault="00380F34" w:rsidP="0025210F">
            <w:pPr>
              <w:rPr>
                <w:rFonts w:cstheme="minorHAnsi"/>
                <w:sz w:val="20"/>
                <w:szCs w:val="20"/>
              </w:rPr>
            </w:pPr>
            <w:r w:rsidRPr="0025210F">
              <w:rPr>
                <w:rFonts w:cstheme="minorHAnsi"/>
                <w:sz w:val="20"/>
                <w:szCs w:val="20"/>
              </w:rPr>
              <w:t>Respondedor&amp;</w:t>
            </w:r>
          </w:p>
          <w:p w14:paraId="605A494F" w14:textId="032A30D1" w:rsidR="00380F34" w:rsidRPr="0025210F" w:rsidRDefault="00380F34" w:rsidP="0025210F">
            <w:pPr>
              <w:rPr>
                <w:rFonts w:cstheme="minorHAnsi"/>
                <w:sz w:val="20"/>
                <w:szCs w:val="20"/>
              </w:rPr>
            </w:pPr>
            <w:r w:rsidRPr="0025210F">
              <w:rPr>
                <w:rFonts w:cstheme="minorHAnsi"/>
                <w:sz w:val="20"/>
                <w:szCs w:val="20"/>
              </w:rPr>
              <w:t>después de un</w:t>
            </w:r>
            <w:r>
              <w:rPr>
                <w:rFonts w:cstheme="minorHAnsi"/>
                <w:sz w:val="20"/>
                <w:szCs w:val="20"/>
              </w:rPr>
              <w:t xml:space="preserve"> </w:t>
            </w:r>
            <w:r w:rsidRPr="0025210F">
              <w:rPr>
                <w:rFonts w:cstheme="minorHAnsi"/>
                <w:sz w:val="20"/>
                <w:szCs w:val="20"/>
              </w:rPr>
              <w:t>esquema</w:t>
            </w:r>
            <w:r>
              <w:rPr>
                <w:rFonts w:cstheme="minorHAnsi"/>
                <w:sz w:val="20"/>
                <w:szCs w:val="20"/>
              </w:rPr>
              <w:t xml:space="preserve"> </w:t>
            </w:r>
            <w:r w:rsidRPr="0025210F">
              <w:rPr>
                <w:rFonts w:cstheme="minorHAnsi"/>
                <w:sz w:val="20"/>
                <w:szCs w:val="20"/>
              </w:rPr>
              <w:t>completo de</w:t>
            </w:r>
            <w:r>
              <w:rPr>
                <w:rFonts w:cstheme="minorHAnsi"/>
                <w:sz w:val="20"/>
                <w:szCs w:val="20"/>
              </w:rPr>
              <w:t xml:space="preserve"> </w:t>
            </w:r>
            <w:r w:rsidRPr="0025210F">
              <w:rPr>
                <w:rFonts w:cstheme="minorHAnsi"/>
                <w:sz w:val="20"/>
                <w:szCs w:val="20"/>
              </w:rPr>
              <w:t>vacunación</w:t>
            </w:r>
            <w:r>
              <w:rPr>
                <w:rFonts w:cstheme="minorHAnsi"/>
                <w:sz w:val="20"/>
                <w:szCs w:val="20"/>
              </w:rPr>
              <w:t xml:space="preserve"> </w:t>
            </w:r>
            <w:r w:rsidRPr="0025210F">
              <w:rPr>
                <w:rFonts w:cstheme="minorHAnsi"/>
                <w:sz w:val="20"/>
                <w:szCs w:val="20"/>
              </w:rPr>
              <w:t>contra la</w:t>
            </w:r>
            <w:r>
              <w:rPr>
                <w:rFonts w:cstheme="minorHAnsi"/>
                <w:sz w:val="20"/>
                <w:szCs w:val="20"/>
              </w:rPr>
              <w:t xml:space="preserve"> </w:t>
            </w:r>
            <w:r w:rsidRPr="0025210F">
              <w:rPr>
                <w:rFonts w:cstheme="minorHAnsi"/>
                <w:sz w:val="20"/>
                <w:szCs w:val="20"/>
              </w:rPr>
              <w:t>hepatitis B (3</w:t>
            </w:r>
            <w:r>
              <w:rPr>
                <w:rFonts w:cstheme="minorHAnsi"/>
                <w:sz w:val="20"/>
                <w:szCs w:val="20"/>
              </w:rPr>
              <w:t xml:space="preserve"> </w:t>
            </w:r>
            <w:r w:rsidRPr="0025210F">
              <w:rPr>
                <w:rFonts w:cstheme="minorHAnsi"/>
                <w:sz w:val="20"/>
                <w:szCs w:val="20"/>
              </w:rPr>
              <w:t>dosis o</w:t>
            </w:r>
            <w:r>
              <w:rPr>
                <w:rFonts w:cstheme="minorHAnsi"/>
                <w:sz w:val="20"/>
                <w:szCs w:val="20"/>
              </w:rPr>
              <w:t xml:space="preserve"> </w:t>
            </w:r>
            <w:r w:rsidRPr="0025210F">
              <w:rPr>
                <w:rFonts w:cstheme="minorHAnsi"/>
                <w:sz w:val="20"/>
                <w:szCs w:val="20"/>
              </w:rPr>
              <w:t>más).</w:t>
            </w:r>
          </w:p>
        </w:tc>
        <w:tc>
          <w:tcPr>
            <w:tcW w:w="1394" w:type="dxa"/>
          </w:tcPr>
          <w:p w14:paraId="775EC122" w14:textId="77777777" w:rsidR="00380F34" w:rsidRPr="00380F34" w:rsidRDefault="00380F34" w:rsidP="00380F34">
            <w:pPr>
              <w:rPr>
                <w:rFonts w:cstheme="minorHAnsi"/>
                <w:sz w:val="20"/>
                <w:szCs w:val="20"/>
              </w:rPr>
            </w:pPr>
            <w:r w:rsidRPr="00380F34">
              <w:rPr>
                <w:rFonts w:cstheme="minorHAnsi"/>
                <w:sz w:val="20"/>
                <w:szCs w:val="20"/>
              </w:rPr>
              <w:t>Positivo /</w:t>
            </w:r>
          </w:p>
          <w:p w14:paraId="09243795" w14:textId="77777777" w:rsidR="00380F34" w:rsidRPr="00380F34" w:rsidRDefault="00380F34" w:rsidP="00380F34">
            <w:pPr>
              <w:rPr>
                <w:rFonts w:cstheme="minorHAnsi"/>
                <w:sz w:val="20"/>
                <w:szCs w:val="20"/>
              </w:rPr>
            </w:pPr>
            <w:r w:rsidRPr="00380F34">
              <w:rPr>
                <w:rFonts w:cstheme="minorHAnsi"/>
                <w:sz w:val="20"/>
                <w:szCs w:val="20"/>
              </w:rPr>
              <w:t>desconocido /</w:t>
            </w:r>
          </w:p>
          <w:p w14:paraId="02BB4CEC" w14:textId="4D74F6EA" w:rsidR="00380F34" w:rsidRDefault="00380F34" w:rsidP="00380F34">
            <w:pPr>
              <w:rPr>
                <w:rFonts w:cstheme="minorHAnsi"/>
                <w:b/>
                <w:bCs/>
              </w:rPr>
            </w:pPr>
            <w:r w:rsidRPr="00380F34">
              <w:rPr>
                <w:rFonts w:cstheme="minorHAnsi"/>
                <w:sz w:val="20"/>
                <w:szCs w:val="20"/>
              </w:rPr>
              <w:t>negativo</w:t>
            </w:r>
          </w:p>
        </w:tc>
        <w:tc>
          <w:tcPr>
            <w:tcW w:w="1401" w:type="dxa"/>
          </w:tcPr>
          <w:p w14:paraId="66829874" w14:textId="5AB87526" w:rsidR="00380F34" w:rsidRPr="00380F34" w:rsidRDefault="00380F34" w:rsidP="00380F34">
            <w:pPr>
              <w:rPr>
                <w:rFonts w:cstheme="minorHAnsi"/>
                <w:sz w:val="20"/>
                <w:szCs w:val="20"/>
              </w:rPr>
            </w:pPr>
            <w:r w:rsidRPr="00380F34">
              <w:rPr>
                <w:rFonts w:cstheme="minorHAnsi"/>
                <w:sz w:val="20"/>
                <w:szCs w:val="20"/>
              </w:rPr>
              <w:t>Anti-</w:t>
            </w:r>
            <w:proofErr w:type="spellStart"/>
            <w:r w:rsidRPr="00380F34">
              <w:rPr>
                <w:rFonts w:cstheme="minorHAnsi"/>
                <w:sz w:val="20"/>
                <w:szCs w:val="20"/>
              </w:rPr>
              <w:t>HBs</w:t>
            </w:r>
            <w:proofErr w:type="spellEnd"/>
            <w:r w:rsidRPr="00380F34">
              <w:rPr>
                <w:rFonts w:cstheme="minorHAnsi"/>
                <w:sz w:val="20"/>
                <w:szCs w:val="20"/>
              </w:rPr>
              <w:t xml:space="preserve"> es &gt;10</w:t>
            </w:r>
            <w:r>
              <w:rPr>
                <w:rFonts w:cstheme="minorHAnsi"/>
                <w:sz w:val="20"/>
                <w:szCs w:val="20"/>
              </w:rPr>
              <w:t xml:space="preserve"> </w:t>
            </w:r>
            <w:proofErr w:type="spellStart"/>
            <w:r w:rsidRPr="00380F34">
              <w:rPr>
                <w:rFonts w:cstheme="minorHAnsi"/>
                <w:sz w:val="20"/>
                <w:szCs w:val="20"/>
              </w:rPr>
              <w:t>mIU</w:t>
            </w:r>
            <w:proofErr w:type="spellEnd"/>
            <w:r w:rsidRPr="00380F34">
              <w:rPr>
                <w:rFonts w:cstheme="minorHAnsi"/>
                <w:sz w:val="20"/>
                <w:szCs w:val="20"/>
              </w:rPr>
              <w:t>/</w:t>
            </w:r>
            <w:proofErr w:type="spellStart"/>
            <w:r w:rsidRPr="00380F34">
              <w:rPr>
                <w:rFonts w:cstheme="minorHAnsi"/>
                <w:sz w:val="20"/>
                <w:szCs w:val="20"/>
              </w:rPr>
              <w:t>mL</w:t>
            </w:r>
            <w:proofErr w:type="spellEnd"/>
          </w:p>
        </w:tc>
        <w:tc>
          <w:tcPr>
            <w:tcW w:w="4593" w:type="dxa"/>
            <w:gridSpan w:val="5"/>
          </w:tcPr>
          <w:p w14:paraId="4B41FBB8" w14:textId="77777777" w:rsidR="00380F34" w:rsidRDefault="00380F34" w:rsidP="00380F34">
            <w:pPr>
              <w:jc w:val="center"/>
              <w:rPr>
                <w:rFonts w:cstheme="minorHAnsi"/>
                <w:sz w:val="20"/>
                <w:szCs w:val="20"/>
              </w:rPr>
            </w:pPr>
          </w:p>
          <w:p w14:paraId="09BF287A" w14:textId="77777777" w:rsidR="00380F34" w:rsidRDefault="00380F34" w:rsidP="00380F34">
            <w:pPr>
              <w:jc w:val="center"/>
              <w:rPr>
                <w:rFonts w:cstheme="minorHAnsi"/>
                <w:sz w:val="20"/>
                <w:szCs w:val="20"/>
              </w:rPr>
            </w:pPr>
          </w:p>
          <w:p w14:paraId="2D2D87B7" w14:textId="77777777" w:rsidR="00380F34" w:rsidRDefault="00380F34" w:rsidP="00380F34">
            <w:pPr>
              <w:jc w:val="center"/>
              <w:rPr>
                <w:rFonts w:cstheme="minorHAnsi"/>
                <w:sz w:val="20"/>
                <w:szCs w:val="20"/>
              </w:rPr>
            </w:pPr>
          </w:p>
          <w:p w14:paraId="2B6E7DC9" w14:textId="05807C4F" w:rsidR="00380F34" w:rsidRPr="00380F34" w:rsidRDefault="00380F34" w:rsidP="00380F34">
            <w:pPr>
              <w:jc w:val="center"/>
              <w:rPr>
                <w:rFonts w:cstheme="minorHAnsi"/>
                <w:sz w:val="20"/>
                <w:szCs w:val="20"/>
              </w:rPr>
            </w:pPr>
            <w:r w:rsidRPr="00380F34">
              <w:rPr>
                <w:rFonts w:cstheme="minorHAnsi"/>
                <w:sz w:val="20"/>
                <w:szCs w:val="20"/>
              </w:rPr>
              <w:t>No se requiere intervención.</w:t>
            </w:r>
          </w:p>
        </w:tc>
      </w:tr>
      <w:tr w:rsidR="00F77155" w14:paraId="3F0FE11D" w14:textId="77777777" w:rsidTr="00451BBE">
        <w:tc>
          <w:tcPr>
            <w:tcW w:w="1440" w:type="dxa"/>
            <w:vMerge w:val="restart"/>
          </w:tcPr>
          <w:p w14:paraId="726D9FEB" w14:textId="30660A65" w:rsidR="00F77155" w:rsidRPr="00380F34" w:rsidRDefault="00F77155" w:rsidP="00380F34">
            <w:pPr>
              <w:rPr>
                <w:rFonts w:cstheme="minorHAnsi"/>
                <w:sz w:val="20"/>
                <w:szCs w:val="20"/>
              </w:rPr>
            </w:pPr>
            <w:r w:rsidRPr="00380F34">
              <w:rPr>
                <w:rFonts w:cstheme="minorHAnsi"/>
                <w:sz w:val="20"/>
                <w:szCs w:val="20"/>
              </w:rPr>
              <w:t>No</w:t>
            </w:r>
            <w:r>
              <w:rPr>
                <w:rFonts w:cstheme="minorHAnsi"/>
                <w:sz w:val="20"/>
                <w:szCs w:val="20"/>
              </w:rPr>
              <w:t xml:space="preserve"> </w:t>
            </w:r>
            <w:r w:rsidRPr="00380F34">
              <w:rPr>
                <w:rFonts w:cstheme="minorHAnsi"/>
                <w:sz w:val="20"/>
                <w:szCs w:val="20"/>
              </w:rPr>
              <w:t>respondedor &amp;&amp;</w:t>
            </w:r>
            <w:r>
              <w:rPr>
                <w:rFonts w:cstheme="minorHAnsi"/>
                <w:sz w:val="20"/>
                <w:szCs w:val="20"/>
              </w:rPr>
              <w:t xml:space="preserve"> </w:t>
            </w:r>
            <w:r w:rsidRPr="00380F34">
              <w:rPr>
                <w:rFonts w:cstheme="minorHAnsi"/>
                <w:sz w:val="20"/>
                <w:szCs w:val="20"/>
              </w:rPr>
              <w:t>después de 6 dosis de</w:t>
            </w:r>
          </w:p>
          <w:p w14:paraId="4A1BC129" w14:textId="7E661AB9" w:rsidR="00F77155" w:rsidRPr="00380F34" w:rsidRDefault="00F77155" w:rsidP="00380F34">
            <w:pPr>
              <w:rPr>
                <w:rFonts w:cstheme="minorHAnsi"/>
                <w:sz w:val="20"/>
                <w:szCs w:val="20"/>
              </w:rPr>
            </w:pPr>
            <w:r w:rsidRPr="00380F34">
              <w:rPr>
                <w:rFonts w:cstheme="minorHAnsi"/>
                <w:sz w:val="20"/>
                <w:szCs w:val="20"/>
              </w:rPr>
              <w:t>vacuna contra la</w:t>
            </w:r>
            <w:r>
              <w:rPr>
                <w:rFonts w:cstheme="minorHAnsi"/>
                <w:sz w:val="20"/>
                <w:szCs w:val="20"/>
              </w:rPr>
              <w:t xml:space="preserve"> </w:t>
            </w:r>
            <w:r w:rsidRPr="00380F34">
              <w:rPr>
                <w:rFonts w:cstheme="minorHAnsi"/>
                <w:sz w:val="20"/>
                <w:szCs w:val="20"/>
              </w:rPr>
              <w:t>hepatitis B.</w:t>
            </w:r>
          </w:p>
        </w:tc>
        <w:tc>
          <w:tcPr>
            <w:tcW w:w="1394" w:type="dxa"/>
          </w:tcPr>
          <w:p w14:paraId="0CCAC312" w14:textId="77777777" w:rsidR="00F77155" w:rsidRPr="00380F34" w:rsidRDefault="00F77155" w:rsidP="00380F34">
            <w:pPr>
              <w:rPr>
                <w:rFonts w:cstheme="minorHAnsi"/>
                <w:sz w:val="20"/>
                <w:szCs w:val="20"/>
              </w:rPr>
            </w:pPr>
            <w:r w:rsidRPr="00380F34">
              <w:rPr>
                <w:rFonts w:cstheme="minorHAnsi"/>
                <w:sz w:val="20"/>
                <w:szCs w:val="20"/>
              </w:rPr>
              <w:t>Positivo /</w:t>
            </w:r>
          </w:p>
          <w:p w14:paraId="25CE2E05" w14:textId="59AA3572" w:rsidR="00F77155" w:rsidRPr="00380F34" w:rsidRDefault="00F77155" w:rsidP="00380F34">
            <w:pPr>
              <w:rPr>
                <w:rFonts w:cstheme="minorHAnsi"/>
                <w:sz w:val="20"/>
                <w:szCs w:val="20"/>
              </w:rPr>
            </w:pPr>
            <w:r w:rsidRPr="00380F34">
              <w:rPr>
                <w:rFonts w:cstheme="minorHAnsi"/>
                <w:sz w:val="20"/>
                <w:szCs w:val="20"/>
              </w:rPr>
              <w:t>desconocido</w:t>
            </w:r>
          </w:p>
        </w:tc>
        <w:tc>
          <w:tcPr>
            <w:tcW w:w="1401" w:type="dxa"/>
            <w:vMerge w:val="restart"/>
          </w:tcPr>
          <w:p w14:paraId="71C82D69" w14:textId="12D875E2" w:rsidR="00F77155" w:rsidRPr="00380F34" w:rsidRDefault="00F77155" w:rsidP="00380F34">
            <w:pPr>
              <w:rPr>
                <w:rFonts w:cstheme="minorHAnsi"/>
                <w:sz w:val="20"/>
                <w:szCs w:val="20"/>
              </w:rPr>
            </w:pPr>
            <w:r w:rsidRPr="00380F34">
              <w:rPr>
                <w:rFonts w:cstheme="minorHAnsi"/>
                <w:sz w:val="20"/>
                <w:szCs w:val="20"/>
              </w:rPr>
              <w:t>Anti-</w:t>
            </w:r>
            <w:proofErr w:type="spellStart"/>
            <w:r w:rsidRPr="00380F34">
              <w:rPr>
                <w:rFonts w:cstheme="minorHAnsi"/>
                <w:sz w:val="20"/>
                <w:szCs w:val="20"/>
              </w:rPr>
              <w:t>HBs</w:t>
            </w:r>
            <w:proofErr w:type="spellEnd"/>
            <w:r w:rsidRPr="00380F34">
              <w:rPr>
                <w:rFonts w:cstheme="minorHAnsi"/>
                <w:sz w:val="20"/>
                <w:szCs w:val="20"/>
              </w:rPr>
              <w:t xml:space="preserve"> es &lt;10</w:t>
            </w:r>
            <w:r>
              <w:rPr>
                <w:rFonts w:cstheme="minorHAnsi"/>
                <w:sz w:val="20"/>
                <w:szCs w:val="20"/>
              </w:rPr>
              <w:t xml:space="preserve"> </w:t>
            </w:r>
            <w:proofErr w:type="spellStart"/>
            <w:r w:rsidRPr="00380F34">
              <w:rPr>
                <w:rFonts w:cstheme="minorHAnsi"/>
                <w:sz w:val="20"/>
                <w:szCs w:val="20"/>
              </w:rPr>
              <w:t>mIU</w:t>
            </w:r>
            <w:proofErr w:type="spellEnd"/>
            <w:r w:rsidRPr="00380F34">
              <w:rPr>
                <w:rFonts w:cstheme="minorHAnsi"/>
                <w:sz w:val="20"/>
                <w:szCs w:val="20"/>
              </w:rPr>
              <w:t>/</w:t>
            </w:r>
            <w:proofErr w:type="spellStart"/>
            <w:r w:rsidRPr="00380F34">
              <w:rPr>
                <w:rFonts w:cstheme="minorHAnsi"/>
                <w:sz w:val="20"/>
                <w:szCs w:val="20"/>
              </w:rPr>
              <w:t>mL</w:t>
            </w:r>
            <w:proofErr w:type="spellEnd"/>
            <w:r w:rsidRPr="00380F34">
              <w:rPr>
                <w:rFonts w:cstheme="minorHAnsi"/>
                <w:sz w:val="20"/>
                <w:szCs w:val="20"/>
              </w:rPr>
              <w:t>.</w:t>
            </w:r>
          </w:p>
        </w:tc>
        <w:tc>
          <w:tcPr>
            <w:tcW w:w="1715" w:type="dxa"/>
            <w:gridSpan w:val="2"/>
          </w:tcPr>
          <w:p w14:paraId="2D63956A" w14:textId="77777777" w:rsidR="00F77155" w:rsidRPr="00380F34" w:rsidRDefault="00F77155" w:rsidP="00380F34">
            <w:pPr>
              <w:rPr>
                <w:rFonts w:cstheme="minorHAnsi"/>
                <w:sz w:val="20"/>
                <w:szCs w:val="20"/>
              </w:rPr>
            </w:pPr>
            <w:r w:rsidRPr="00380F34">
              <w:rPr>
                <w:rFonts w:cstheme="minorHAnsi"/>
                <w:sz w:val="20"/>
                <w:szCs w:val="20"/>
              </w:rPr>
              <w:t>Gammaglobulina</w:t>
            </w:r>
          </w:p>
          <w:p w14:paraId="27830CCF" w14:textId="4605FC9C" w:rsidR="00F77155" w:rsidRPr="00380F34" w:rsidRDefault="00F77155" w:rsidP="00380F34">
            <w:pPr>
              <w:rPr>
                <w:rFonts w:cstheme="minorHAnsi"/>
                <w:sz w:val="20"/>
                <w:szCs w:val="20"/>
              </w:rPr>
            </w:pPr>
            <w:r w:rsidRPr="00380F34">
              <w:rPr>
                <w:rFonts w:cstheme="minorHAnsi"/>
                <w:sz w:val="20"/>
                <w:szCs w:val="20"/>
              </w:rPr>
              <w:t>2 dosis</w:t>
            </w:r>
            <w:r>
              <w:rPr>
                <w:rFonts w:cstheme="minorHAnsi"/>
                <w:sz w:val="20"/>
                <w:szCs w:val="20"/>
              </w:rPr>
              <w:t xml:space="preserve"> </w:t>
            </w:r>
            <w:r w:rsidRPr="00380F34">
              <w:rPr>
                <w:rFonts w:cstheme="minorHAnsi"/>
                <w:sz w:val="20"/>
                <w:szCs w:val="20"/>
              </w:rPr>
              <w:t>separadas</w:t>
            </w:r>
            <w:r>
              <w:rPr>
                <w:rFonts w:cstheme="minorHAnsi"/>
                <w:sz w:val="20"/>
                <w:szCs w:val="20"/>
              </w:rPr>
              <w:t xml:space="preserve"> </w:t>
            </w:r>
            <w:r w:rsidRPr="00380F34">
              <w:rPr>
                <w:rFonts w:cstheme="minorHAnsi"/>
                <w:sz w:val="20"/>
                <w:szCs w:val="20"/>
              </w:rPr>
              <w:t>por un intervalo</w:t>
            </w:r>
            <w:r>
              <w:rPr>
                <w:rFonts w:cstheme="minorHAnsi"/>
                <w:sz w:val="20"/>
                <w:szCs w:val="20"/>
              </w:rPr>
              <w:t xml:space="preserve"> </w:t>
            </w:r>
            <w:r w:rsidRPr="00380F34">
              <w:rPr>
                <w:rFonts w:cstheme="minorHAnsi"/>
                <w:sz w:val="20"/>
                <w:szCs w:val="20"/>
              </w:rPr>
              <w:t>de 4 semanas.</w:t>
            </w:r>
          </w:p>
        </w:tc>
        <w:tc>
          <w:tcPr>
            <w:tcW w:w="1407" w:type="dxa"/>
            <w:gridSpan w:val="2"/>
          </w:tcPr>
          <w:p w14:paraId="0ABC7691" w14:textId="77777777" w:rsidR="00F77155" w:rsidRDefault="00F77155" w:rsidP="00380F34">
            <w:pPr>
              <w:jc w:val="center"/>
              <w:rPr>
                <w:rFonts w:cstheme="minorHAnsi"/>
                <w:sz w:val="20"/>
                <w:szCs w:val="20"/>
              </w:rPr>
            </w:pPr>
          </w:p>
          <w:p w14:paraId="2C335A89" w14:textId="77777777" w:rsidR="00F77155" w:rsidRDefault="00F77155" w:rsidP="00380F34">
            <w:pPr>
              <w:jc w:val="center"/>
              <w:rPr>
                <w:rFonts w:cstheme="minorHAnsi"/>
                <w:sz w:val="20"/>
                <w:szCs w:val="20"/>
              </w:rPr>
            </w:pPr>
          </w:p>
          <w:p w14:paraId="698F17D2" w14:textId="7B1D4029" w:rsidR="00F77155" w:rsidRPr="00380F34" w:rsidRDefault="00F77155" w:rsidP="00380F34">
            <w:pPr>
              <w:jc w:val="center"/>
              <w:rPr>
                <w:rFonts w:cstheme="minorHAnsi"/>
                <w:sz w:val="20"/>
                <w:szCs w:val="20"/>
              </w:rPr>
            </w:pPr>
            <w:r>
              <w:rPr>
                <w:rFonts w:cstheme="minorHAnsi"/>
                <w:sz w:val="20"/>
                <w:szCs w:val="20"/>
              </w:rPr>
              <w:t>NO</w:t>
            </w:r>
          </w:p>
        </w:tc>
        <w:tc>
          <w:tcPr>
            <w:tcW w:w="1471" w:type="dxa"/>
          </w:tcPr>
          <w:p w14:paraId="29B6CFAA" w14:textId="77777777" w:rsidR="00F77155" w:rsidRDefault="00F77155" w:rsidP="00380F34">
            <w:pPr>
              <w:jc w:val="center"/>
              <w:rPr>
                <w:rFonts w:cstheme="minorHAnsi"/>
                <w:sz w:val="20"/>
                <w:szCs w:val="20"/>
              </w:rPr>
            </w:pPr>
          </w:p>
          <w:p w14:paraId="4B98E87C" w14:textId="77777777" w:rsidR="00F77155" w:rsidRDefault="00F77155" w:rsidP="00380F34">
            <w:pPr>
              <w:jc w:val="center"/>
              <w:rPr>
                <w:rFonts w:cstheme="minorHAnsi"/>
                <w:sz w:val="20"/>
                <w:szCs w:val="20"/>
              </w:rPr>
            </w:pPr>
          </w:p>
          <w:p w14:paraId="3191BD17" w14:textId="65496447" w:rsidR="00F77155" w:rsidRPr="00380F34" w:rsidRDefault="00F77155" w:rsidP="00380F34">
            <w:pPr>
              <w:jc w:val="center"/>
              <w:rPr>
                <w:rFonts w:cstheme="minorHAnsi"/>
                <w:sz w:val="20"/>
                <w:szCs w:val="20"/>
              </w:rPr>
            </w:pPr>
            <w:r>
              <w:rPr>
                <w:rFonts w:cstheme="minorHAnsi"/>
                <w:sz w:val="20"/>
                <w:szCs w:val="20"/>
              </w:rPr>
              <w:t>NO</w:t>
            </w:r>
          </w:p>
        </w:tc>
      </w:tr>
      <w:tr w:rsidR="00F77155" w14:paraId="7980B11D" w14:textId="77777777" w:rsidTr="00451BBE">
        <w:tc>
          <w:tcPr>
            <w:tcW w:w="1440" w:type="dxa"/>
            <w:vMerge/>
          </w:tcPr>
          <w:p w14:paraId="5F3BF37E" w14:textId="77777777" w:rsidR="00F77155" w:rsidRPr="00380F34" w:rsidRDefault="00F77155" w:rsidP="00EA4FA7">
            <w:pPr>
              <w:rPr>
                <w:rFonts w:cstheme="minorHAnsi"/>
                <w:sz w:val="20"/>
                <w:szCs w:val="20"/>
              </w:rPr>
            </w:pPr>
          </w:p>
        </w:tc>
        <w:tc>
          <w:tcPr>
            <w:tcW w:w="1394" w:type="dxa"/>
          </w:tcPr>
          <w:p w14:paraId="19F92070" w14:textId="1BFB87B2" w:rsidR="00F77155" w:rsidRPr="00380F34" w:rsidRDefault="00F77155" w:rsidP="00EA4FA7">
            <w:pPr>
              <w:rPr>
                <w:rFonts w:cstheme="minorHAnsi"/>
                <w:sz w:val="20"/>
                <w:szCs w:val="20"/>
              </w:rPr>
            </w:pPr>
            <w:r w:rsidRPr="00380F34">
              <w:rPr>
                <w:rFonts w:cstheme="minorHAnsi"/>
                <w:sz w:val="20"/>
                <w:szCs w:val="20"/>
              </w:rPr>
              <w:t>Negativo</w:t>
            </w:r>
          </w:p>
        </w:tc>
        <w:tc>
          <w:tcPr>
            <w:tcW w:w="1401" w:type="dxa"/>
            <w:vMerge/>
          </w:tcPr>
          <w:p w14:paraId="055E1F3D" w14:textId="77777777" w:rsidR="00F77155" w:rsidRPr="00380F34" w:rsidRDefault="00F77155" w:rsidP="00EA4FA7">
            <w:pPr>
              <w:rPr>
                <w:rFonts w:cstheme="minorHAnsi"/>
                <w:sz w:val="20"/>
                <w:szCs w:val="20"/>
              </w:rPr>
            </w:pPr>
          </w:p>
        </w:tc>
        <w:tc>
          <w:tcPr>
            <w:tcW w:w="4593" w:type="dxa"/>
            <w:gridSpan w:val="5"/>
          </w:tcPr>
          <w:p w14:paraId="2CDB70BC" w14:textId="5A56930C" w:rsidR="00F77155" w:rsidRPr="00380F34" w:rsidRDefault="00F77155" w:rsidP="00F77155">
            <w:pPr>
              <w:jc w:val="center"/>
              <w:rPr>
                <w:rFonts w:cstheme="minorHAnsi"/>
                <w:sz w:val="20"/>
                <w:szCs w:val="20"/>
              </w:rPr>
            </w:pPr>
            <w:r w:rsidRPr="00380F34">
              <w:rPr>
                <w:rFonts w:cstheme="minorHAnsi"/>
                <w:sz w:val="20"/>
                <w:szCs w:val="20"/>
              </w:rPr>
              <w:t>No se requiere intervención.</w:t>
            </w:r>
          </w:p>
        </w:tc>
      </w:tr>
      <w:tr w:rsidR="00F77155" w14:paraId="601E4C7B" w14:textId="77777777" w:rsidTr="00451BBE">
        <w:tc>
          <w:tcPr>
            <w:tcW w:w="1440" w:type="dxa"/>
            <w:vMerge w:val="restart"/>
          </w:tcPr>
          <w:p w14:paraId="5917970D" w14:textId="0D2D6288" w:rsidR="00F77155" w:rsidRPr="00380F34" w:rsidRDefault="00F77155" w:rsidP="00F77155">
            <w:pPr>
              <w:rPr>
                <w:rFonts w:cstheme="minorHAnsi"/>
                <w:sz w:val="20"/>
                <w:szCs w:val="20"/>
              </w:rPr>
            </w:pPr>
            <w:r w:rsidRPr="00F77155">
              <w:rPr>
                <w:rFonts w:cstheme="minorHAnsi"/>
                <w:sz w:val="20"/>
                <w:szCs w:val="20"/>
              </w:rPr>
              <w:t>Persona con 3 dosis</w:t>
            </w:r>
            <w:r>
              <w:rPr>
                <w:rFonts w:cstheme="minorHAnsi"/>
                <w:sz w:val="20"/>
                <w:szCs w:val="20"/>
              </w:rPr>
              <w:t xml:space="preserve"> </w:t>
            </w:r>
            <w:r w:rsidRPr="00F77155">
              <w:rPr>
                <w:rFonts w:cstheme="minorHAnsi"/>
                <w:sz w:val="20"/>
                <w:szCs w:val="20"/>
              </w:rPr>
              <w:t>de</w:t>
            </w:r>
            <w:r>
              <w:rPr>
                <w:rFonts w:cstheme="minorHAnsi"/>
                <w:sz w:val="20"/>
                <w:szCs w:val="20"/>
              </w:rPr>
              <w:t xml:space="preserve"> </w:t>
            </w:r>
            <w:r w:rsidRPr="00F77155">
              <w:rPr>
                <w:rFonts w:cstheme="minorHAnsi"/>
                <w:sz w:val="20"/>
                <w:szCs w:val="20"/>
              </w:rPr>
              <w:t>vacuna contra la</w:t>
            </w:r>
            <w:r>
              <w:rPr>
                <w:rFonts w:cstheme="minorHAnsi"/>
                <w:sz w:val="20"/>
                <w:szCs w:val="20"/>
              </w:rPr>
              <w:t xml:space="preserve"> </w:t>
            </w:r>
            <w:r w:rsidRPr="00F77155">
              <w:rPr>
                <w:rFonts w:cstheme="minorHAnsi"/>
                <w:sz w:val="20"/>
                <w:szCs w:val="20"/>
              </w:rPr>
              <w:t>hepatitis B</w:t>
            </w:r>
          </w:p>
        </w:tc>
        <w:tc>
          <w:tcPr>
            <w:tcW w:w="1394" w:type="dxa"/>
          </w:tcPr>
          <w:p w14:paraId="68CE12ED" w14:textId="77777777" w:rsidR="00F77155" w:rsidRPr="00F77155" w:rsidRDefault="00F77155" w:rsidP="00F77155">
            <w:pPr>
              <w:rPr>
                <w:rFonts w:cstheme="minorHAnsi"/>
                <w:sz w:val="20"/>
                <w:szCs w:val="20"/>
              </w:rPr>
            </w:pPr>
            <w:r w:rsidRPr="00F77155">
              <w:rPr>
                <w:rFonts w:cstheme="minorHAnsi"/>
                <w:sz w:val="20"/>
                <w:szCs w:val="20"/>
              </w:rPr>
              <w:t>Positivo /</w:t>
            </w:r>
          </w:p>
          <w:p w14:paraId="790AAEC0" w14:textId="44B900F6" w:rsidR="00F77155" w:rsidRPr="00380F34" w:rsidRDefault="00F77155" w:rsidP="00F77155">
            <w:pPr>
              <w:rPr>
                <w:rFonts w:cstheme="minorHAnsi"/>
                <w:sz w:val="20"/>
                <w:szCs w:val="20"/>
              </w:rPr>
            </w:pPr>
            <w:r w:rsidRPr="00F77155">
              <w:rPr>
                <w:rFonts w:cstheme="minorHAnsi"/>
                <w:sz w:val="20"/>
                <w:szCs w:val="20"/>
              </w:rPr>
              <w:t>desconocido</w:t>
            </w:r>
          </w:p>
        </w:tc>
        <w:tc>
          <w:tcPr>
            <w:tcW w:w="1401" w:type="dxa"/>
          </w:tcPr>
          <w:p w14:paraId="29DF0492" w14:textId="260F65A1" w:rsidR="00F77155" w:rsidRPr="00380F34" w:rsidRDefault="00F77155" w:rsidP="00F77155">
            <w:pPr>
              <w:rPr>
                <w:rFonts w:cstheme="minorHAnsi"/>
                <w:sz w:val="20"/>
                <w:szCs w:val="20"/>
              </w:rPr>
            </w:pPr>
            <w:r w:rsidRPr="00F77155">
              <w:rPr>
                <w:rFonts w:cstheme="minorHAnsi"/>
                <w:sz w:val="20"/>
                <w:szCs w:val="20"/>
              </w:rPr>
              <w:t>Anti-</w:t>
            </w:r>
            <w:proofErr w:type="spellStart"/>
            <w:r w:rsidRPr="00F77155">
              <w:rPr>
                <w:rFonts w:cstheme="minorHAnsi"/>
                <w:sz w:val="20"/>
                <w:szCs w:val="20"/>
              </w:rPr>
              <w:t>HBs</w:t>
            </w:r>
            <w:proofErr w:type="spellEnd"/>
            <w:r w:rsidRPr="00F77155">
              <w:rPr>
                <w:rFonts w:cstheme="minorHAnsi"/>
                <w:sz w:val="20"/>
                <w:szCs w:val="20"/>
              </w:rPr>
              <w:t xml:space="preserve"> es &lt;10</w:t>
            </w:r>
            <w:r>
              <w:rPr>
                <w:rFonts w:cstheme="minorHAnsi"/>
                <w:sz w:val="20"/>
                <w:szCs w:val="20"/>
              </w:rPr>
              <w:t xml:space="preserve"> </w:t>
            </w:r>
            <w:proofErr w:type="spellStart"/>
            <w:r w:rsidRPr="00F77155">
              <w:rPr>
                <w:rFonts w:cstheme="minorHAnsi"/>
                <w:sz w:val="20"/>
                <w:szCs w:val="20"/>
              </w:rPr>
              <w:t>mIU</w:t>
            </w:r>
            <w:proofErr w:type="spellEnd"/>
            <w:r w:rsidRPr="00F77155">
              <w:rPr>
                <w:rFonts w:cstheme="minorHAnsi"/>
                <w:sz w:val="20"/>
                <w:szCs w:val="20"/>
              </w:rPr>
              <w:t>/</w:t>
            </w:r>
            <w:proofErr w:type="spellStart"/>
            <w:r w:rsidRPr="00F77155">
              <w:rPr>
                <w:rFonts w:cstheme="minorHAnsi"/>
                <w:sz w:val="20"/>
                <w:szCs w:val="20"/>
              </w:rPr>
              <w:t>mL</w:t>
            </w:r>
            <w:proofErr w:type="spellEnd"/>
            <w:r w:rsidRPr="00F77155">
              <w:rPr>
                <w:rFonts w:cstheme="minorHAnsi"/>
                <w:sz w:val="20"/>
                <w:szCs w:val="20"/>
              </w:rPr>
              <w:t>.</w:t>
            </w:r>
          </w:p>
        </w:tc>
        <w:tc>
          <w:tcPr>
            <w:tcW w:w="1715" w:type="dxa"/>
            <w:gridSpan w:val="2"/>
          </w:tcPr>
          <w:p w14:paraId="779EE096" w14:textId="77777777" w:rsidR="00F77155" w:rsidRPr="00F77155" w:rsidRDefault="00F77155" w:rsidP="00F77155">
            <w:pPr>
              <w:rPr>
                <w:rFonts w:cstheme="minorHAnsi"/>
                <w:sz w:val="20"/>
                <w:szCs w:val="20"/>
              </w:rPr>
            </w:pPr>
            <w:r w:rsidRPr="00F77155">
              <w:rPr>
                <w:rFonts w:cstheme="minorHAnsi"/>
                <w:sz w:val="20"/>
                <w:szCs w:val="20"/>
              </w:rPr>
              <w:t>Gammaglobulina</w:t>
            </w:r>
          </w:p>
          <w:p w14:paraId="6BBF2296" w14:textId="251AC275" w:rsidR="00F77155" w:rsidRPr="00380F34" w:rsidRDefault="00F77155" w:rsidP="00F77155">
            <w:pPr>
              <w:rPr>
                <w:rFonts w:cstheme="minorHAnsi"/>
                <w:sz w:val="20"/>
                <w:szCs w:val="20"/>
              </w:rPr>
            </w:pPr>
            <w:r w:rsidRPr="00F77155">
              <w:rPr>
                <w:rFonts w:cstheme="minorHAnsi"/>
                <w:sz w:val="20"/>
                <w:szCs w:val="20"/>
              </w:rPr>
              <w:t>1 dosis</w:t>
            </w:r>
          </w:p>
        </w:tc>
        <w:tc>
          <w:tcPr>
            <w:tcW w:w="1407" w:type="dxa"/>
            <w:gridSpan w:val="2"/>
          </w:tcPr>
          <w:p w14:paraId="001FC41D" w14:textId="61060815" w:rsidR="00F77155" w:rsidRPr="00F77155" w:rsidRDefault="00F77155" w:rsidP="00F77155">
            <w:pPr>
              <w:rPr>
                <w:rFonts w:cstheme="minorHAnsi"/>
                <w:sz w:val="20"/>
                <w:szCs w:val="20"/>
              </w:rPr>
            </w:pPr>
            <w:r w:rsidRPr="00F77155">
              <w:rPr>
                <w:rFonts w:cstheme="minorHAnsi"/>
                <w:sz w:val="20"/>
                <w:szCs w:val="20"/>
              </w:rPr>
              <w:t>Aplicar un</w:t>
            </w:r>
            <w:r>
              <w:rPr>
                <w:rFonts w:cstheme="minorHAnsi"/>
                <w:sz w:val="20"/>
                <w:szCs w:val="20"/>
              </w:rPr>
              <w:t xml:space="preserve"> </w:t>
            </w:r>
            <w:r w:rsidRPr="00F77155">
              <w:rPr>
                <w:rFonts w:cstheme="minorHAnsi"/>
                <w:sz w:val="20"/>
                <w:szCs w:val="20"/>
              </w:rPr>
              <w:t>segundo</w:t>
            </w:r>
            <w:r>
              <w:rPr>
                <w:rFonts w:cstheme="minorHAnsi"/>
                <w:sz w:val="20"/>
                <w:szCs w:val="20"/>
              </w:rPr>
              <w:t xml:space="preserve"> </w:t>
            </w:r>
            <w:r w:rsidRPr="00F77155">
              <w:rPr>
                <w:rFonts w:cstheme="minorHAnsi"/>
                <w:sz w:val="20"/>
                <w:szCs w:val="20"/>
              </w:rPr>
              <w:t>esquema de</w:t>
            </w:r>
            <w:r>
              <w:rPr>
                <w:rFonts w:cstheme="minorHAnsi"/>
                <w:sz w:val="20"/>
                <w:szCs w:val="20"/>
              </w:rPr>
              <w:t xml:space="preserve"> </w:t>
            </w:r>
            <w:r w:rsidRPr="00F77155">
              <w:rPr>
                <w:rFonts w:cstheme="minorHAnsi"/>
                <w:sz w:val="20"/>
                <w:szCs w:val="20"/>
              </w:rPr>
              <w:t>vacunación</w:t>
            </w:r>
          </w:p>
          <w:p w14:paraId="1E9ED49F" w14:textId="59557043" w:rsidR="00F77155" w:rsidRPr="00380F34" w:rsidRDefault="00F77155" w:rsidP="00F77155">
            <w:pPr>
              <w:rPr>
                <w:rFonts w:cstheme="minorHAnsi"/>
                <w:sz w:val="20"/>
                <w:szCs w:val="20"/>
              </w:rPr>
            </w:pPr>
            <w:r>
              <w:rPr>
                <w:rFonts w:cstheme="minorHAnsi"/>
                <w:sz w:val="20"/>
                <w:szCs w:val="20"/>
              </w:rPr>
              <w:t xml:space="preserve"> c</w:t>
            </w:r>
            <w:r w:rsidRPr="00F77155">
              <w:rPr>
                <w:rFonts w:cstheme="minorHAnsi"/>
                <w:sz w:val="20"/>
                <w:szCs w:val="20"/>
              </w:rPr>
              <w:t>ontra la</w:t>
            </w:r>
            <w:r>
              <w:rPr>
                <w:rFonts w:cstheme="minorHAnsi"/>
                <w:sz w:val="20"/>
                <w:szCs w:val="20"/>
              </w:rPr>
              <w:t xml:space="preserve"> </w:t>
            </w:r>
            <w:r w:rsidRPr="00F77155">
              <w:rPr>
                <w:rFonts w:cstheme="minorHAnsi"/>
                <w:sz w:val="20"/>
                <w:szCs w:val="20"/>
              </w:rPr>
              <w:t>hepatitis B</w:t>
            </w:r>
            <w:r>
              <w:rPr>
                <w:rFonts w:cstheme="minorHAnsi"/>
                <w:sz w:val="20"/>
                <w:szCs w:val="20"/>
              </w:rPr>
              <w:t xml:space="preserve"> </w:t>
            </w:r>
            <w:r w:rsidRPr="00F77155">
              <w:rPr>
                <w:rFonts w:cstheme="minorHAnsi"/>
                <w:sz w:val="20"/>
                <w:szCs w:val="20"/>
              </w:rPr>
              <w:t>(3 dosis en</w:t>
            </w:r>
            <w:r>
              <w:rPr>
                <w:rFonts w:cstheme="minorHAnsi"/>
                <w:sz w:val="20"/>
                <w:szCs w:val="20"/>
              </w:rPr>
              <w:t xml:space="preserve"> </w:t>
            </w:r>
            <w:r w:rsidRPr="00F77155">
              <w:rPr>
                <w:rFonts w:cstheme="minorHAnsi"/>
                <w:sz w:val="20"/>
                <w:szCs w:val="20"/>
              </w:rPr>
              <w:t>esquema 0, 1</w:t>
            </w:r>
            <w:r>
              <w:rPr>
                <w:rFonts w:cstheme="minorHAnsi"/>
                <w:sz w:val="20"/>
                <w:szCs w:val="20"/>
              </w:rPr>
              <w:t xml:space="preserve"> </w:t>
            </w:r>
            <w:r w:rsidRPr="00F77155">
              <w:rPr>
                <w:rFonts w:cstheme="minorHAnsi"/>
                <w:sz w:val="20"/>
                <w:szCs w:val="20"/>
              </w:rPr>
              <w:t>y 6 meses).</w:t>
            </w:r>
          </w:p>
        </w:tc>
        <w:tc>
          <w:tcPr>
            <w:tcW w:w="1471" w:type="dxa"/>
          </w:tcPr>
          <w:p w14:paraId="4F68A11C" w14:textId="77777777" w:rsidR="00F77155" w:rsidRDefault="00F77155" w:rsidP="00F77155">
            <w:pPr>
              <w:jc w:val="center"/>
              <w:rPr>
                <w:rFonts w:cstheme="minorHAnsi"/>
                <w:sz w:val="20"/>
                <w:szCs w:val="20"/>
              </w:rPr>
            </w:pPr>
          </w:p>
          <w:p w14:paraId="2D8E9AD6" w14:textId="77777777" w:rsidR="00F77155" w:rsidRDefault="00F77155" w:rsidP="00F77155">
            <w:pPr>
              <w:jc w:val="center"/>
              <w:rPr>
                <w:rFonts w:cstheme="minorHAnsi"/>
                <w:sz w:val="20"/>
                <w:szCs w:val="20"/>
              </w:rPr>
            </w:pPr>
          </w:p>
          <w:p w14:paraId="133CA5A3" w14:textId="77777777" w:rsidR="00F77155" w:rsidRDefault="00F77155" w:rsidP="00F77155">
            <w:pPr>
              <w:jc w:val="center"/>
              <w:rPr>
                <w:rFonts w:cstheme="minorHAnsi"/>
                <w:sz w:val="20"/>
                <w:szCs w:val="20"/>
              </w:rPr>
            </w:pPr>
          </w:p>
          <w:p w14:paraId="4E4FA29D" w14:textId="52D6BDD0" w:rsidR="00F77155" w:rsidRPr="00380F34" w:rsidRDefault="00F77155" w:rsidP="00F77155">
            <w:pPr>
              <w:jc w:val="center"/>
              <w:rPr>
                <w:rFonts w:cstheme="minorHAnsi"/>
                <w:sz w:val="20"/>
                <w:szCs w:val="20"/>
              </w:rPr>
            </w:pPr>
            <w:r>
              <w:rPr>
                <w:rFonts w:cstheme="minorHAnsi"/>
                <w:sz w:val="20"/>
                <w:szCs w:val="20"/>
              </w:rPr>
              <w:t>SI</w:t>
            </w:r>
          </w:p>
        </w:tc>
      </w:tr>
      <w:tr w:rsidR="00F77155" w14:paraId="47F9DEB6" w14:textId="77777777" w:rsidTr="00451BBE">
        <w:tc>
          <w:tcPr>
            <w:tcW w:w="1440" w:type="dxa"/>
            <w:vMerge/>
          </w:tcPr>
          <w:p w14:paraId="0568F6A9" w14:textId="77777777" w:rsidR="00F77155" w:rsidRPr="00380F34" w:rsidRDefault="00F77155" w:rsidP="00EA4FA7">
            <w:pPr>
              <w:rPr>
                <w:rFonts w:cstheme="minorHAnsi"/>
                <w:sz w:val="20"/>
                <w:szCs w:val="20"/>
              </w:rPr>
            </w:pPr>
          </w:p>
        </w:tc>
        <w:tc>
          <w:tcPr>
            <w:tcW w:w="1394" w:type="dxa"/>
          </w:tcPr>
          <w:p w14:paraId="26CB5B0E" w14:textId="29529DAE" w:rsidR="00F77155" w:rsidRPr="00380F34" w:rsidRDefault="00F77155" w:rsidP="00EA4FA7">
            <w:pPr>
              <w:rPr>
                <w:rFonts w:cstheme="minorHAnsi"/>
                <w:sz w:val="20"/>
                <w:szCs w:val="20"/>
              </w:rPr>
            </w:pPr>
            <w:r w:rsidRPr="00F77155">
              <w:rPr>
                <w:rFonts w:cstheme="minorHAnsi"/>
                <w:sz w:val="20"/>
                <w:szCs w:val="20"/>
              </w:rPr>
              <w:t>Negativo</w:t>
            </w:r>
          </w:p>
        </w:tc>
        <w:tc>
          <w:tcPr>
            <w:tcW w:w="1401" w:type="dxa"/>
          </w:tcPr>
          <w:p w14:paraId="627101A0" w14:textId="7BD942D3" w:rsidR="00F77155" w:rsidRPr="00380F34" w:rsidRDefault="00F77155" w:rsidP="00F77155">
            <w:pPr>
              <w:rPr>
                <w:rFonts w:cstheme="minorHAnsi"/>
                <w:sz w:val="20"/>
                <w:szCs w:val="20"/>
              </w:rPr>
            </w:pPr>
            <w:r w:rsidRPr="00F77155">
              <w:rPr>
                <w:rFonts w:cstheme="minorHAnsi"/>
                <w:sz w:val="20"/>
                <w:szCs w:val="20"/>
              </w:rPr>
              <w:t>Anti-</w:t>
            </w:r>
            <w:proofErr w:type="spellStart"/>
            <w:r w:rsidRPr="00F77155">
              <w:rPr>
                <w:rFonts w:cstheme="minorHAnsi"/>
                <w:sz w:val="20"/>
                <w:szCs w:val="20"/>
              </w:rPr>
              <w:t>HBs</w:t>
            </w:r>
            <w:proofErr w:type="spellEnd"/>
            <w:r w:rsidRPr="00F77155">
              <w:rPr>
                <w:rFonts w:cstheme="minorHAnsi"/>
                <w:sz w:val="20"/>
                <w:szCs w:val="20"/>
              </w:rPr>
              <w:t xml:space="preserve"> es &lt;10</w:t>
            </w:r>
            <w:r>
              <w:rPr>
                <w:rFonts w:cstheme="minorHAnsi"/>
                <w:sz w:val="20"/>
                <w:szCs w:val="20"/>
              </w:rPr>
              <w:t xml:space="preserve"> </w:t>
            </w:r>
            <w:r w:rsidRPr="00F77155">
              <w:rPr>
                <w:rFonts w:cstheme="minorHAnsi"/>
                <w:sz w:val="20"/>
                <w:szCs w:val="20"/>
              </w:rPr>
              <w:t>MIU/</w:t>
            </w:r>
            <w:proofErr w:type="spellStart"/>
            <w:r w:rsidRPr="00F77155">
              <w:rPr>
                <w:rFonts w:cstheme="minorHAnsi"/>
                <w:sz w:val="20"/>
                <w:szCs w:val="20"/>
              </w:rPr>
              <w:t>mL</w:t>
            </w:r>
            <w:proofErr w:type="spellEnd"/>
            <w:r w:rsidRPr="00F77155">
              <w:rPr>
                <w:rFonts w:cstheme="minorHAnsi"/>
                <w:sz w:val="20"/>
                <w:szCs w:val="20"/>
              </w:rPr>
              <w:t>.</w:t>
            </w:r>
          </w:p>
        </w:tc>
        <w:tc>
          <w:tcPr>
            <w:tcW w:w="1715" w:type="dxa"/>
            <w:gridSpan w:val="2"/>
          </w:tcPr>
          <w:p w14:paraId="02178295" w14:textId="77777777" w:rsidR="00F77155" w:rsidRPr="00F77155" w:rsidRDefault="00F77155" w:rsidP="00F77155">
            <w:pPr>
              <w:rPr>
                <w:rFonts w:cstheme="minorHAnsi"/>
                <w:sz w:val="20"/>
                <w:szCs w:val="20"/>
              </w:rPr>
            </w:pPr>
            <w:r w:rsidRPr="00F77155">
              <w:rPr>
                <w:rFonts w:cstheme="minorHAnsi"/>
                <w:sz w:val="20"/>
                <w:szCs w:val="20"/>
              </w:rPr>
              <w:t>No se requiere</w:t>
            </w:r>
          </w:p>
          <w:p w14:paraId="2458334A" w14:textId="5AF94BCB" w:rsidR="00F77155" w:rsidRPr="00380F34" w:rsidRDefault="00F77155" w:rsidP="00F77155">
            <w:pPr>
              <w:rPr>
                <w:rFonts w:cstheme="minorHAnsi"/>
                <w:sz w:val="20"/>
                <w:szCs w:val="20"/>
              </w:rPr>
            </w:pPr>
            <w:r w:rsidRPr="00F77155">
              <w:rPr>
                <w:rFonts w:cstheme="minorHAnsi"/>
                <w:sz w:val="20"/>
                <w:szCs w:val="20"/>
              </w:rPr>
              <w:t>intervención.</w:t>
            </w:r>
          </w:p>
        </w:tc>
        <w:tc>
          <w:tcPr>
            <w:tcW w:w="1407" w:type="dxa"/>
            <w:gridSpan w:val="2"/>
          </w:tcPr>
          <w:p w14:paraId="18A281B4" w14:textId="77777777" w:rsidR="00F77155" w:rsidRPr="00F77155" w:rsidRDefault="00F77155" w:rsidP="00F77155">
            <w:pPr>
              <w:rPr>
                <w:rFonts w:cstheme="minorHAnsi"/>
                <w:sz w:val="20"/>
                <w:szCs w:val="20"/>
              </w:rPr>
            </w:pPr>
            <w:r w:rsidRPr="00F77155">
              <w:rPr>
                <w:rFonts w:cstheme="minorHAnsi"/>
                <w:sz w:val="20"/>
                <w:szCs w:val="20"/>
              </w:rPr>
              <w:t>Aplicar un segundo</w:t>
            </w:r>
          </w:p>
          <w:p w14:paraId="66B46164" w14:textId="09445B0A" w:rsidR="00F77155" w:rsidRPr="00380F34" w:rsidRDefault="00F77155" w:rsidP="00F77155">
            <w:pPr>
              <w:rPr>
                <w:rFonts w:cstheme="minorHAnsi"/>
                <w:sz w:val="20"/>
                <w:szCs w:val="20"/>
              </w:rPr>
            </w:pPr>
            <w:r w:rsidRPr="00F77155">
              <w:rPr>
                <w:rFonts w:cstheme="minorHAnsi"/>
                <w:sz w:val="20"/>
                <w:szCs w:val="20"/>
              </w:rPr>
              <w:t>esquema de</w:t>
            </w:r>
            <w:r>
              <w:rPr>
                <w:rFonts w:cstheme="minorHAnsi"/>
                <w:sz w:val="20"/>
                <w:szCs w:val="20"/>
              </w:rPr>
              <w:t xml:space="preserve"> </w:t>
            </w:r>
            <w:r w:rsidRPr="00F77155">
              <w:rPr>
                <w:rFonts w:cstheme="minorHAnsi"/>
                <w:sz w:val="20"/>
                <w:szCs w:val="20"/>
              </w:rPr>
              <w:t>vacunación</w:t>
            </w:r>
            <w:r>
              <w:rPr>
                <w:rFonts w:cstheme="minorHAnsi"/>
                <w:sz w:val="20"/>
                <w:szCs w:val="20"/>
              </w:rPr>
              <w:t xml:space="preserve"> </w:t>
            </w:r>
            <w:r w:rsidRPr="00F77155">
              <w:rPr>
                <w:rFonts w:cstheme="minorHAnsi"/>
                <w:sz w:val="20"/>
                <w:szCs w:val="20"/>
              </w:rPr>
              <w:t>contra la</w:t>
            </w:r>
            <w:r>
              <w:rPr>
                <w:rFonts w:cstheme="minorHAnsi"/>
                <w:sz w:val="20"/>
                <w:szCs w:val="20"/>
              </w:rPr>
              <w:t xml:space="preserve"> </w:t>
            </w:r>
            <w:r w:rsidRPr="00F77155">
              <w:rPr>
                <w:rFonts w:cstheme="minorHAnsi"/>
                <w:sz w:val="20"/>
                <w:szCs w:val="20"/>
              </w:rPr>
              <w:t>hepatitis B</w:t>
            </w:r>
            <w:r>
              <w:rPr>
                <w:rFonts w:cstheme="minorHAnsi"/>
                <w:sz w:val="20"/>
                <w:szCs w:val="20"/>
              </w:rPr>
              <w:t xml:space="preserve"> </w:t>
            </w:r>
            <w:r w:rsidRPr="00F77155">
              <w:rPr>
                <w:rFonts w:cstheme="minorHAnsi"/>
                <w:sz w:val="20"/>
                <w:szCs w:val="20"/>
              </w:rPr>
              <w:t>(3</w:t>
            </w:r>
            <w:r>
              <w:rPr>
                <w:rFonts w:cstheme="minorHAnsi"/>
                <w:sz w:val="20"/>
                <w:szCs w:val="20"/>
              </w:rPr>
              <w:t xml:space="preserve"> </w:t>
            </w:r>
            <w:r w:rsidRPr="00F77155">
              <w:rPr>
                <w:rFonts w:cstheme="minorHAnsi"/>
                <w:sz w:val="20"/>
                <w:szCs w:val="20"/>
              </w:rPr>
              <w:t>dosis en</w:t>
            </w:r>
            <w:r>
              <w:rPr>
                <w:rFonts w:cstheme="minorHAnsi"/>
                <w:sz w:val="20"/>
                <w:szCs w:val="20"/>
              </w:rPr>
              <w:t xml:space="preserve"> </w:t>
            </w:r>
            <w:r w:rsidRPr="00F77155">
              <w:rPr>
                <w:rFonts w:cstheme="minorHAnsi"/>
                <w:sz w:val="20"/>
                <w:szCs w:val="20"/>
              </w:rPr>
              <w:t>esquema 0, 1</w:t>
            </w:r>
            <w:r>
              <w:rPr>
                <w:rFonts w:cstheme="minorHAnsi"/>
                <w:sz w:val="20"/>
                <w:szCs w:val="20"/>
              </w:rPr>
              <w:t xml:space="preserve"> </w:t>
            </w:r>
            <w:r w:rsidRPr="00F77155">
              <w:rPr>
                <w:rFonts w:cstheme="minorHAnsi"/>
                <w:sz w:val="20"/>
                <w:szCs w:val="20"/>
              </w:rPr>
              <w:t>y 6 meses).</w:t>
            </w:r>
          </w:p>
        </w:tc>
        <w:tc>
          <w:tcPr>
            <w:tcW w:w="1471" w:type="dxa"/>
          </w:tcPr>
          <w:p w14:paraId="78E62189" w14:textId="77777777" w:rsidR="00F77155" w:rsidRDefault="00F77155" w:rsidP="00F77155">
            <w:pPr>
              <w:jc w:val="center"/>
              <w:rPr>
                <w:rFonts w:cstheme="minorHAnsi"/>
                <w:sz w:val="20"/>
                <w:szCs w:val="20"/>
              </w:rPr>
            </w:pPr>
          </w:p>
          <w:p w14:paraId="5FE7B3B0" w14:textId="77777777" w:rsidR="00F77155" w:rsidRDefault="00F77155" w:rsidP="00F77155">
            <w:pPr>
              <w:jc w:val="center"/>
              <w:rPr>
                <w:rFonts w:cstheme="minorHAnsi"/>
                <w:sz w:val="20"/>
                <w:szCs w:val="20"/>
              </w:rPr>
            </w:pPr>
          </w:p>
          <w:p w14:paraId="37C15820" w14:textId="77777777" w:rsidR="00F77155" w:rsidRDefault="00F77155" w:rsidP="00F77155">
            <w:pPr>
              <w:jc w:val="center"/>
              <w:rPr>
                <w:rFonts w:cstheme="minorHAnsi"/>
                <w:sz w:val="20"/>
                <w:szCs w:val="20"/>
              </w:rPr>
            </w:pPr>
          </w:p>
          <w:p w14:paraId="31092C6B" w14:textId="56E55A2D" w:rsidR="00F77155" w:rsidRPr="00380F34" w:rsidRDefault="00F77155" w:rsidP="00F77155">
            <w:pPr>
              <w:jc w:val="center"/>
              <w:rPr>
                <w:rFonts w:cstheme="minorHAnsi"/>
                <w:sz w:val="20"/>
                <w:szCs w:val="20"/>
              </w:rPr>
            </w:pPr>
            <w:r>
              <w:rPr>
                <w:rFonts w:cstheme="minorHAnsi"/>
                <w:sz w:val="20"/>
                <w:szCs w:val="20"/>
              </w:rPr>
              <w:t>SI</w:t>
            </w:r>
          </w:p>
        </w:tc>
      </w:tr>
      <w:tr w:rsidR="00F77155" w14:paraId="5E299C56" w14:textId="77777777" w:rsidTr="00451BBE">
        <w:tc>
          <w:tcPr>
            <w:tcW w:w="1440" w:type="dxa"/>
            <w:vMerge/>
          </w:tcPr>
          <w:p w14:paraId="57E1BDCA" w14:textId="77777777" w:rsidR="00F77155" w:rsidRPr="00380F34" w:rsidRDefault="00F77155" w:rsidP="00EA4FA7">
            <w:pPr>
              <w:rPr>
                <w:rFonts w:cstheme="minorHAnsi"/>
                <w:sz w:val="20"/>
                <w:szCs w:val="20"/>
              </w:rPr>
            </w:pPr>
          </w:p>
        </w:tc>
        <w:tc>
          <w:tcPr>
            <w:tcW w:w="1394" w:type="dxa"/>
          </w:tcPr>
          <w:p w14:paraId="1E43B63B" w14:textId="77777777" w:rsidR="00F77155" w:rsidRPr="00F77155" w:rsidRDefault="00F77155" w:rsidP="00F77155">
            <w:pPr>
              <w:rPr>
                <w:rFonts w:cstheme="minorHAnsi"/>
                <w:sz w:val="20"/>
                <w:szCs w:val="20"/>
              </w:rPr>
            </w:pPr>
            <w:r w:rsidRPr="00F77155">
              <w:rPr>
                <w:rFonts w:cstheme="minorHAnsi"/>
                <w:sz w:val="20"/>
                <w:szCs w:val="20"/>
              </w:rPr>
              <w:t>Positivo /</w:t>
            </w:r>
          </w:p>
          <w:p w14:paraId="26B2BFB0" w14:textId="77777777" w:rsidR="00F77155" w:rsidRPr="00F77155" w:rsidRDefault="00F77155" w:rsidP="00F77155">
            <w:pPr>
              <w:rPr>
                <w:rFonts w:cstheme="minorHAnsi"/>
                <w:sz w:val="20"/>
                <w:szCs w:val="20"/>
              </w:rPr>
            </w:pPr>
            <w:r w:rsidRPr="00F77155">
              <w:rPr>
                <w:rFonts w:cstheme="minorHAnsi"/>
                <w:sz w:val="20"/>
                <w:szCs w:val="20"/>
              </w:rPr>
              <w:t>desconocido /</w:t>
            </w:r>
          </w:p>
          <w:p w14:paraId="0A3AC7C7" w14:textId="32709D01" w:rsidR="00F77155" w:rsidRPr="00380F34" w:rsidRDefault="00F77155" w:rsidP="00F77155">
            <w:pPr>
              <w:rPr>
                <w:rFonts w:cstheme="minorHAnsi"/>
                <w:sz w:val="20"/>
                <w:szCs w:val="20"/>
              </w:rPr>
            </w:pPr>
            <w:r w:rsidRPr="00F77155">
              <w:rPr>
                <w:rFonts w:cstheme="minorHAnsi"/>
                <w:sz w:val="20"/>
                <w:szCs w:val="20"/>
              </w:rPr>
              <w:t>negativo</w:t>
            </w:r>
          </w:p>
        </w:tc>
        <w:tc>
          <w:tcPr>
            <w:tcW w:w="1401" w:type="dxa"/>
          </w:tcPr>
          <w:p w14:paraId="0C0EC529" w14:textId="706BB567" w:rsidR="00F77155" w:rsidRPr="00380F34" w:rsidRDefault="00F77155" w:rsidP="00F77155">
            <w:pPr>
              <w:rPr>
                <w:rFonts w:cstheme="minorHAnsi"/>
                <w:sz w:val="20"/>
                <w:szCs w:val="20"/>
              </w:rPr>
            </w:pPr>
            <w:r w:rsidRPr="00F77155">
              <w:rPr>
                <w:rFonts w:cstheme="minorHAnsi"/>
                <w:sz w:val="20"/>
                <w:szCs w:val="20"/>
              </w:rPr>
              <w:t>Anti-</w:t>
            </w:r>
            <w:proofErr w:type="spellStart"/>
            <w:r w:rsidRPr="00F77155">
              <w:rPr>
                <w:rFonts w:cstheme="minorHAnsi"/>
                <w:sz w:val="20"/>
                <w:szCs w:val="20"/>
              </w:rPr>
              <w:t>HBs</w:t>
            </w:r>
            <w:proofErr w:type="spellEnd"/>
            <w:r w:rsidRPr="00F77155">
              <w:rPr>
                <w:rFonts w:cstheme="minorHAnsi"/>
                <w:sz w:val="20"/>
                <w:szCs w:val="20"/>
              </w:rPr>
              <w:t xml:space="preserve"> es &gt;10</w:t>
            </w:r>
            <w:r>
              <w:rPr>
                <w:rFonts w:cstheme="minorHAnsi"/>
                <w:sz w:val="20"/>
                <w:szCs w:val="20"/>
              </w:rPr>
              <w:t xml:space="preserve"> </w:t>
            </w:r>
            <w:proofErr w:type="spellStart"/>
            <w:r w:rsidRPr="00F77155">
              <w:rPr>
                <w:rFonts w:cstheme="minorHAnsi"/>
                <w:sz w:val="20"/>
                <w:szCs w:val="20"/>
              </w:rPr>
              <w:t>mIU</w:t>
            </w:r>
            <w:proofErr w:type="spellEnd"/>
            <w:r w:rsidRPr="00F77155">
              <w:rPr>
                <w:rFonts w:cstheme="minorHAnsi"/>
                <w:sz w:val="20"/>
                <w:szCs w:val="20"/>
              </w:rPr>
              <w:t>/</w:t>
            </w:r>
            <w:proofErr w:type="spellStart"/>
            <w:r w:rsidRPr="00F77155">
              <w:rPr>
                <w:rFonts w:cstheme="minorHAnsi"/>
                <w:sz w:val="20"/>
                <w:szCs w:val="20"/>
              </w:rPr>
              <w:t>mL</w:t>
            </w:r>
            <w:proofErr w:type="spellEnd"/>
          </w:p>
        </w:tc>
        <w:tc>
          <w:tcPr>
            <w:tcW w:w="4593" w:type="dxa"/>
            <w:gridSpan w:val="5"/>
          </w:tcPr>
          <w:p w14:paraId="74BBA804" w14:textId="684C9022" w:rsidR="00F77155" w:rsidRPr="00380F34" w:rsidRDefault="00F77155" w:rsidP="00F77155">
            <w:pPr>
              <w:jc w:val="center"/>
              <w:rPr>
                <w:rFonts w:cstheme="minorHAnsi"/>
                <w:sz w:val="20"/>
                <w:szCs w:val="20"/>
              </w:rPr>
            </w:pPr>
            <w:r w:rsidRPr="00F77155">
              <w:rPr>
                <w:rFonts w:cstheme="minorHAnsi"/>
                <w:sz w:val="20"/>
                <w:szCs w:val="20"/>
              </w:rPr>
              <w:t>No se requiere</w:t>
            </w:r>
            <w:r>
              <w:rPr>
                <w:rFonts w:cstheme="minorHAnsi"/>
                <w:sz w:val="20"/>
                <w:szCs w:val="20"/>
              </w:rPr>
              <w:t xml:space="preserve"> </w:t>
            </w:r>
            <w:r w:rsidRPr="00F77155">
              <w:rPr>
                <w:rFonts w:cstheme="minorHAnsi"/>
                <w:sz w:val="20"/>
                <w:szCs w:val="20"/>
              </w:rPr>
              <w:t>intervención.</w:t>
            </w:r>
          </w:p>
        </w:tc>
      </w:tr>
      <w:tr w:rsidR="00B561FD" w14:paraId="32A0C9A1" w14:textId="77777777" w:rsidTr="00451BBE">
        <w:tc>
          <w:tcPr>
            <w:tcW w:w="1440" w:type="dxa"/>
            <w:vMerge w:val="restart"/>
          </w:tcPr>
          <w:p w14:paraId="00A4B14E" w14:textId="559AA9DA" w:rsidR="00B561FD" w:rsidRPr="00380F34" w:rsidRDefault="00B561FD" w:rsidP="00B561FD">
            <w:pPr>
              <w:rPr>
                <w:rFonts w:cstheme="minorHAnsi"/>
                <w:sz w:val="20"/>
                <w:szCs w:val="20"/>
              </w:rPr>
            </w:pPr>
            <w:r w:rsidRPr="00B561FD">
              <w:rPr>
                <w:rFonts w:cstheme="minorHAnsi"/>
                <w:sz w:val="20"/>
                <w:szCs w:val="20"/>
              </w:rPr>
              <w:t>No vacunado, con</w:t>
            </w:r>
            <w:r>
              <w:rPr>
                <w:rFonts w:cstheme="minorHAnsi"/>
                <w:sz w:val="20"/>
                <w:szCs w:val="20"/>
              </w:rPr>
              <w:t xml:space="preserve"> </w:t>
            </w:r>
            <w:r w:rsidRPr="00B561FD">
              <w:rPr>
                <w:rFonts w:cstheme="minorHAnsi"/>
                <w:sz w:val="20"/>
                <w:szCs w:val="20"/>
              </w:rPr>
              <w:t>esquema incompleto</w:t>
            </w:r>
            <w:r>
              <w:rPr>
                <w:rFonts w:cstheme="minorHAnsi"/>
                <w:sz w:val="20"/>
                <w:szCs w:val="20"/>
              </w:rPr>
              <w:t xml:space="preserve"> </w:t>
            </w:r>
            <w:r w:rsidRPr="00B561FD">
              <w:rPr>
                <w:rFonts w:cstheme="minorHAnsi"/>
                <w:sz w:val="20"/>
                <w:szCs w:val="20"/>
              </w:rPr>
              <w:t>o</w:t>
            </w:r>
            <w:r>
              <w:rPr>
                <w:rFonts w:cstheme="minorHAnsi"/>
                <w:sz w:val="20"/>
                <w:szCs w:val="20"/>
              </w:rPr>
              <w:t xml:space="preserve"> </w:t>
            </w:r>
            <w:r w:rsidRPr="00B561FD">
              <w:rPr>
                <w:rFonts w:cstheme="minorHAnsi"/>
                <w:sz w:val="20"/>
                <w:szCs w:val="20"/>
              </w:rPr>
              <w:t>rechaza la</w:t>
            </w:r>
            <w:r>
              <w:rPr>
                <w:rFonts w:cstheme="minorHAnsi"/>
                <w:sz w:val="20"/>
                <w:szCs w:val="20"/>
              </w:rPr>
              <w:t xml:space="preserve"> </w:t>
            </w:r>
            <w:r w:rsidRPr="00B561FD">
              <w:rPr>
                <w:rFonts w:cstheme="minorHAnsi"/>
                <w:sz w:val="20"/>
                <w:szCs w:val="20"/>
              </w:rPr>
              <w:t>vacunación</w:t>
            </w:r>
          </w:p>
        </w:tc>
        <w:tc>
          <w:tcPr>
            <w:tcW w:w="1394" w:type="dxa"/>
          </w:tcPr>
          <w:p w14:paraId="0EBE139E" w14:textId="77777777" w:rsidR="00B561FD" w:rsidRPr="00B561FD" w:rsidRDefault="00B561FD" w:rsidP="00B561FD">
            <w:pPr>
              <w:rPr>
                <w:rFonts w:cstheme="minorHAnsi"/>
                <w:sz w:val="20"/>
                <w:szCs w:val="20"/>
              </w:rPr>
            </w:pPr>
            <w:r w:rsidRPr="00B561FD">
              <w:rPr>
                <w:rFonts w:cstheme="minorHAnsi"/>
                <w:sz w:val="20"/>
                <w:szCs w:val="20"/>
              </w:rPr>
              <w:t>Positivo /</w:t>
            </w:r>
          </w:p>
          <w:p w14:paraId="4932AA11" w14:textId="2D033B23" w:rsidR="00B561FD" w:rsidRPr="00F77155" w:rsidRDefault="00B561FD" w:rsidP="00B561FD">
            <w:pPr>
              <w:rPr>
                <w:rFonts w:cstheme="minorHAnsi"/>
                <w:sz w:val="20"/>
                <w:szCs w:val="20"/>
              </w:rPr>
            </w:pPr>
            <w:r w:rsidRPr="00B561FD">
              <w:rPr>
                <w:rFonts w:cstheme="minorHAnsi"/>
                <w:sz w:val="20"/>
                <w:szCs w:val="20"/>
              </w:rPr>
              <w:t>desconocido</w:t>
            </w:r>
          </w:p>
        </w:tc>
        <w:tc>
          <w:tcPr>
            <w:tcW w:w="1401" w:type="dxa"/>
          </w:tcPr>
          <w:p w14:paraId="37B338E0" w14:textId="77777777" w:rsidR="00B561FD" w:rsidRPr="00F77155" w:rsidRDefault="00B561FD" w:rsidP="00F77155">
            <w:pPr>
              <w:rPr>
                <w:rFonts w:cstheme="minorHAnsi"/>
                <w:sz w:val="20"/>
                <w:szCs w:val="20"/>
              </w:rPr>
            </w:pPr>
          </w:p>
        </w:tc>
        <w:tc>
          <w:tcPr>
            <w:tcW w:w="1602" w:type="dxa"/>
          </w:tcPr>
          <w:p w14:paraId="36611464" w14:textId="77777777" w:rsidR="00B561FD" w:rsidRPr="00B561FD" w:rsidRDefault="00B561FD" w:rsidP="00B561FD">
            <w:pPr>
              <w:jc w:val="center"/>
              <w:rPr>
                <w:rFonts w:cstheme="minorHAnsi"/>
                <w:sz w:val="20"/>
                <w:szCs w:val="20"/>
              </w:rPr>
            </w:pPr>
            <w:r w:rsidRPr="00B561FD">
              <w:rPr>
                <w:rFonts w:cstheme="minorHAnsi"/>
                <w:sz w:val="20"/>
                <w:szCs w:val="20"/>
              </w:rPr>
              <w:t>Gammaglobulina</w:t>
            </w:r>
          </w:p>
          <w:p w14:paraId="1B461ADD" w14:textId="455820E9" w:rsidR="00B561FD" w:rsidRPr="00F77155" w:rsidRDefault="00B561FD" w:rsidP="00B561FD">
            <w:pPr>
              <w:jc w:val="center"/>
              <w:rPr>
                <w:rFonts w:cstheme="minorHAnsi"/>
                <w:sz w:val="20"/>
                <w:szCs w:val="20"/>
              </w:rPr>
            </w:pPr>
            <w:r w:rsidRPr="00B561FD">
              <w:rPr>
                <w:rFonts w:cstheme="minorHAnsi"/>
                <w:sz w:val="20"/>
                <w:szCs w:val="20"/>
              </w:rPr>
              <w:t>1 dosis&amp;&amp;&amp;</w:t>
            </w:r>
          </w:p>
        </w:tc>
        <w:tc>
          <w:tcPr>
            <w:tcW w:w="1478" w:type="dxa"/>
            <w:gridSpan w:val="2"/>
          </w:tcPr>
          <w:p w14:paraId="4C5492E2" w14:textId="6A16A3C5" w:rsidR="00B561FD" w:rsidRPr="00B561FD" w:rsidRDefault="00B561FD" w:rsidP="00B561FD">
            <w:pPr>
              <w:rPr>
                <w:rFonts w:cstheme="minorHAnsi"/>
                <w:sz w:val="20"/>
                <w:szCs w:val="20"/>
              </w:rPr>
            </w:pPr>
            <w:r w:rsidRPr="00B561FD">
              <w:rPr>
                <w:rFonts w:cstheme="minorHAnsi"/>
                <w:sz w:val="20"/>
                <w:szCs w:val="20"/>
              </w:rPr>
              <w:t>Iniciar o</w:t>
            </w:r>
            <w:r>
              <w:rPr>
                <w:rFonts w:cstheme="minorHAnsi"/>
                <w:sz w:val="20"/>
                <w:szCs w:val="20"/>
              </w:rPr>
              <w:t xml:space="preserve"> </w:t>
            </w:r>
            <w:r w:rsidRPr="00B561FD">
              <w:rPr>
                <w:rFonts w:cstheme="minorHAnsi"/>
                <w:sz w:val="20"/>
                <w:szCs w:val="20"/>
              </w:rPr>
              <w:t>completar el</w:t>
            </w:r>
          </w:p>
          <w:p w14:paraId="6B8144F5" w14:textId="185F3BA2" w:rsidR="00B561FD" w:rsidRPr="00F77155" w:rsidRDefault="00B561FD" w:rsidP="00B561FD">
            <w:pPr>
              <w:rPr>
                <w:rFonts w:cstheme="minorHAnsi"/>
                <w:sz w:val="20"/>
                <w:szCs w:val="20"/>
              </w:rPr>
            </w:pPr>
            <w:r>
              <w:rPr>
                <w:rFonts w:cstheme="minorHAnsi"/>
                <w:sz w:val="20"/>
                <w:szCs w:val="20"/>
              </w:rPr>
              <w:t xml:space="preserve"> </w:t>
            </w:r>
            <w:r w:rsidRPr="00B561FD">
              <w:rPr>
                <w:rFonts w:cstheme="minorHAnsi"/>
                <w:sz w:val="20"/>
                <w:szCs w:val="20"/>
              </w:rPr>
              <w:t>esquema de</w:t>
            </w:r>
            <w:r>
              <w:rPr>
                <w:rFonts w:cstheme="minorHAnsi"/>
                <w:sz w:val="20"/>
                <w:szCs w:val="20"/>
              </w:rPr>
              <w:t xml:space="preserve"> </w:t>
            </w:r>
            <w:r w:rsidRPr="00B561FD">
              <w:rPr>
                <w:rFonts w:cstheme="minorHAnsi"/>
                <w:sz w:val="20"/>
                <w:szCs w:val="20"/>
              </w:rPr>
              <w:t>vacunación.</w:t>
            </w:r>
          </w:p>
        </w:tc>
        <w:tc>
          <w:tcPr>
            <w:tcW w:w="1513" w:type="dxa"/>
            <w:gridSpan w:val="2"/>
          </w:tcPr>
          <w:p w14:paraId="6BD3035B" w14:textId="77777777" w:rsidR="00B561FD" w:rsidRDefault="00B561FD" w:rsidP="00F77155">
            <w:pPr>
              <w:jc w:val="center"/>
              <w:rPr>
                <w:rFonts w:cstheme="minorHAnsi"/>
                <w:sz w:val="20"/>
                <w:szCs w:val="20"/>
              </w:rPr>
            </w:pPr>
          </w:p>
          <w:p w14:paraId="7199C17D" w14:textId="187F6F06" w:rsidR="00B561FD" w:rsidRPr="00F77155" w:rsidRDefault="00B561FD" w:rsidP="00F77155">
            <w:pPr>
              <w:jc w:val="center"/>
              <w:rPr>
                <w:rFonts w:cstheme="minorHAnsi"/>
                <w:sz w:val="20"/>
                <w:szCs w:val="20"/>
              </w:rPr>
            </w:pPr>
            <w:r>
              <w:rPr>
                <w:rFonts w:cstheme="minorHAnsi"/>
                <w:sz w:val="20"/>
                <w:szCs w:val="20"/>
              </w:rPr>
              <w:t>SI</w:t>
            </w:r>
          </w:p>
        </w:tc>
      </w:tr>
      <w:tr w:rsidR="00B561FD" w14:paraId="3569780D" w14:textId="77777777" w:rsidTr="00451BBE">
        <w:tc>
          <w:tcPr>
            <w:tcW w:w="1440" w:type="dxa"/>
            <w:vMerge/>
          </w:tcPr>
          <w:p w14:paraId="69CA5C6E" w14:textId="77777777" w:rsidR="00B561FD" w:rsidRPr="00380F34" w:rsidRDefault="00B561FD" w:rsidP="00EA4FA7">
            <w:pPr>
              <w:rPr>
                <w:rFonts w:cstheme="minorHAnsi"/>
                <w:sz w:val="20"/>
                <w:szCs w:val="20"/>
              </w:rPr>
            </w:pPr>
          </w:p>
        </w:tc>
        <w:tc>
          <w:tcPr>
            <w:tcW w:w="1394" w:type="dxa"/>
          </w:tcPr>
          <w:p w14:paraId="1348E398" w14:textId="3536243D" w:rsidR="00B561FD" w:rsidRPr="00F77155" w:rsidRDefault="00B561FD" w:rsidP="00F77155">
            <w:pPr>
              <w:rPr>
                <w:rFonts w:cstheme="minorHAnsi"/>
                <w:sz w:val="20"/>
                <w:szCs w:val="20"/>
              </w:rPr>
            </w:pPr>
            <w:r w:rsidRPr="00B561FD">
              <w:rPr>
                <w:rFonts w:cstheme="minorHAnsi"/>
                <w:sz w:val="20"/>
                <w:szCs w:val="20"/>
              </w:rPr>
              <w:t>Negativo</w:t>
            </w:r>
          </w:p>
        </w:tc>
        <w:tc>
          <w:tcPr>
            <w:tcW w:w="1401" w:type="dxa"/>
          </w:tcPr>
          <w:p w14:paraId="6E500CD1" w14:textId="77777777" w:rsidR="00B561FD" w:rsidRPr="00F77155" w:rsidRDefault="00B561FD" w:rsidP="00F77155">
            <w:pPr>
              <w:rPr>
                <w:rFonts w:cstheme="minorHAnsi"/>
                <w:sz w:val="20"/>
                <w:szCs w:val="20"/>
              </w:rPr>
            </w:pPr>
          </w:p>
        </w:tc>
        <w:tc>
          <w:tcPr>
            <w:tcW w:w="1602" w:type="dxa"/>
          </w:tcPr>
          <w:p w14:paraId="7E339354" w14:textId="752911CB" w:rsidR="00B561FD" w:rsidRPr="00F77155" w:rsidRDefault="00B561FD" w:rsidP="00F77155">
            <w:pPr>
              <w:jc w:val="center"/>
              <w:rPr>
                <w:rFonts w:cstheme="minorHAnsi"/>
                <w:sz w:val="20"/>
                <w:szCs w:val="20"/>
              </w:rPr>
            </w:pPr>
            <w:r>
              <w:rPr>
                <w:rFonts w:cstheme="minorHAnsi"/>
                <w:sz w:val="20"/>
                <w:szCs w:val="20"/>
              </w:rPr>
              <w:t>NO</w:t>
            </w:r>
          </w:p>
        </w:tc>
        <w:tc>
          <w:tcPr>
            <w:tcW w:w="1478" w:type="dxa"/>
            <w:gridSpan w:val="2"/>
          </w:tcPr>
          <w:p w14:paraId="7EA067C4" w14:textId="58C3C953" w:rsidR="00B561FD" w:rsidRPr="00B561FD" w:rsidRDefault="00B561FD" w:rsidP="00B561FD">
            <w:pPr>
              <w:rPr>
                <w:rFonts w:cstheme="minorHAnsi"/>
                <w:sz w:val="20"/>
                <w:szCs w:val="20"/>
              </w:rPr>
            </w:pPr>
            <w:r w:rsidRPr="00B561FD">
              <w:rPr>
                <w:rFonts w:cstheme="minorHAnsi"/>
                <w:sz w:val="20"/>
                <w:szCs w:val="20"/>
              </w:rPr>
              <w:t>Iniciar o</w:t>
            </w:r>
            <w:r>
              <w:rPr>
                <w:rFonts w:cstheme="minorHAnsi"/>
                <w:sz w:val="20"/>
                <w:szCs w:val="20"/>
              </w:rPr>
              <w:t xml:space="preserve"> </w:t>
            </w:r>
            <w:r w:rsidRPr="00B561FD">
              <w:rPr>
                <w:rFonts w:cstheme="minorHAnsi"/>
                <w:sz w:val="20"/>
                <w:szCs w:val="20"/>
              </w:rPr>
              <w:t>completar el</w:t>
            </w:r>
          </w:p>
          <w:p w14:paraId="1BA7EA17" w14:textId="6AB9D56B" w:rsidR="00B561FD" w:rsidRPr="00F77155" w:rsidRDefault="00B561FD" w:rsidP="00B561FD">
            <w:pPr>
              <w:jc w:val="center"/>
              <w:rPr>
                <w:rFonts w:cstheme="minorHAnsi"/>
                <w:sz w:val="20"/>
                <w:szCs w:val="20"/>
              </w:rPr>
            </w:pPr>
            <w:r w:rsidRPr="00B561FD">
              <w:rPr>
                <w:rFonts w:cstheme="minorHAnsi"/>
                <w:sz w:val="20"/>
                <w:szCs w:val="20"/>
              </w:rPr>
              <w:t>esquema de vacunación.</w:t>
            </w:r>
          </w:p>
        </w:tc>
        <w:tc>
          <w:tcPr>
            <w:tcW w:w="1513" w:type="dxa"/>
            <w:gridSpan w:val="2"/>
          </w:tcPr>
          <w:p w14:paraId="10089C86" w14:textId="1934B385" w:rsidR="00B561FD" w:rsidRPr="00F77155" w:rsidRDefault="00B561FD" w:rsidP="00B561FD">
            <w:pPr>
              <w:jc w:val="center"/>
              <w:rPr>
                <w:rFonts w:cstheme="minorHAnsi"/>
                <w:sz w:val="20"/>
                <w:szCs w:val="20"/>
              </w:rPr>
            </w:pPr>
            <w:r>
              <w:rPr>
                <w:rFonts w:cstheme="minorHAnsi"/>
                <w:sz w:val="20"/>
                <w:szCs w:val="20"/>
              </w:rPr>
              <w:t>SI</w:t>
            </w:r>
          </w:p>
        </w:tc>
      </w:tr>
    </w:tbl>
    <w:p w14:paraId="75FD396E" w14:textId="77777777" w:rsidR="00EA4FA7" w:rsidRPr="00EA4FA7" w:rsidRDefault="00EA4FA7" w:rsidP="00EA4FA7">
      <w:pPr>
        <w:rPr>
          <w:rFonts w:cstheme="minorHAnsi"/>
          <w:b/>
          <w:bCs/>
        </w:rPr>
      </w:pPr>
    </w:p>
    <w:p w14:paraId="4986A524" w14:textId="77777777" w:rsidR="00AE6F99" w:rsidRPr="00AE6F99" w:rsidRDefault="00AE6F99" w:rsidP="00AE6F99">
      <w:pPr>
        <w:autoSpaceDE w:val="0"/>
        <w:autoSpaceDN w:val="0"/>
        <w:adjustRightInd w:val="0"/>
        <w:spacing w:after="0" w:line="240" w:lineRule="auto"/>
        <w:rPr>
          <w:rFonts w:cstheme="minorHAnsi"/>
          <w:sz w:val="18"/>
          <w:szCs w:val="18"/>
          <w:lang w:val="en-US"/>
        </w:rPr>
      </w:pPr>
      <w:r w:rsidRPr="00AE6F99">
        <w:rPr>
          <w:rFonts w:cstheme="minorHAnsi"/>
          <w:b/>
          <w:bCs/>
          <w:sz w:val="18"/>
          <w:szCs w:val="18"/>
          <w:lang w:val="en-US"/>
        </w:rPr>
        <w:t xml:space="preserve">Fuente: </w:t>
      </w:r>
      <w:proofErr w:type="spellStart"/>
      <w:r w:rsidRPr="00AE6F99">
        <w:rPr>
          <w:rFonts w:cstheme="minorHAnsi"/>
          <w:sz w:val="18"/>
          <w:szCs w:val="18"/>
          <w:lang w:val="en-US"/>
        </w:rPr>
        <w:t>Modificado</w:t>
      </w:r>
      <w:proofErr w:type="spellEnd"/>
      <w:r w:rsidRPr="00AE6F99">
        <w:rPr>
          <w:rFonts w:cstheme="minorHAnsi"/>
          <w:sz w:val="18"/>
          <w:szCs w:val="18"/>
          <w:lang w:val="en-US"/>
        </w:rPr>
        <w:t xml:space="preserve"> de CDC. Guidance for Evaluating Health-Care Personnel for Hepatitis B Virus Protection and for Administering Postexposure</w:t>
      </w:r>
    </w:p>
    <w:p w14:paraId="4D7A3D41" w14:textId="77777777" w:rsidR="00AE6F99" w:rsidRPr="00AE6F99" w:rsidRDefault="00AE6F99" w:rsidP="00AE6F99">
      <w:pPr>
        <w:autoSpaceDE w:val="0"/>
        <w:autoSpaceDN w:val="0"/>
        <w:adjustRightInd w:val="0"/>
        <w:spacing w:after="0" w:line="240" w:lineRule="auto"/>
        <w:rPr>
          <w:rFonts w:cstheme="minorHAnsi"/>
          <w:sz w:val="18"/>
          <w:szCs w:val="18"/>
          <w:lang w:val="en-US"/>
        </w:rPr>
      </w:pPr>
      <w:r w:rsidRPr="00AE6F99">
        <w:rPr>
          <w:rFonts w:cstheme="minorHAnsi"/>
          <w:sz w:val="18"/>
          <w:szCs w:val="18"/>
          <w:lang w:val="en-US"/>
        </w:rPr>
        <w:t>Management. MMWR Recommendations and Reports, December 20, 2013 / 62(RR10);1-19.</w:t>
      </w:r>
    </w:p>
    <w:p w14:paraId="658CC505" w14:textId="3F652611"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sz w:val="18"/>
          <w:szCs w:val="18"/>
        </w:rPr>
        <w:t>Abreviaciones: HBsAg = antígeno de superficie de hepatitis B; Anti-</w:t>
      </w:r>
      <w:proofErr w:type="spellStart"/>
      <w:r w:rsidRPr="00AE6F99">
        <w:rPr>
          <w:rFonts w:cstheme="minorHAnsi"/>
          <w:sz w:val="18"/>
          <w:szCs w:val="18"/>
        </w:rPr>
        <w:t>HBs</w:t>
      </w:r>
      <w:proofErr w:type="spellEnd"/>
      <w:r w:rsidRPr="00AE6F99">
        <w:rPr>
          <w:rFonts w:cstheme="minorHAnsi"/>
          <w:sz w:val="18"/>
          <w:szCs w:val="18"/>
        </w:rPr>
        <w:t xml:space="preserve"> = Anticuerpos contra el antígeno de superficie de</w:t>
      </w:r>
      <w:r>
        <w:rPr>
          <w:rFonts w:cstheme="minorHAnsi"/>
          <w:sz w:val="18"/>
          <w:szCs w:val="18"/>
        </w:rPr>
        <w:t xml:space="preserve"> </w:t>
      </w:r>
      <w:r w:rsidRPr="00AE6F99">
        <w:rPr>
          <w:rFonts w:cstheme="minorHAnsi"/>
          <w:sz w:val="18"/>
          <w:szCs w:val="18"/>
        </w:rPr>
        <w:t>la hepatitis B</w:t>
      </w:r>
    </w:p>
    <w:p w14:paraId="1CC08749" w14:textId="38EF8F1D"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b/>
          <w:bCs/>
          <w:sz w:val="18"/>
          <w:szCs w:val="18"/>
        </w:rPr>
        <w:t>*</w:t>
      </w:r>
      <w:r w:rsidRPr="00AE6F99">
        <w:rPr>
          <w:rFonts w:cstheme="minorHAnsi"/>
          <w:sz w:val="18"/>
          <w:szCs w:val="18"/>
        </w:rPr>
        <w:t>El desconocimiento de la respuesta de la persona expuesta a esquemas de vacunación recibidos previamente no debe retardar el inicio de la</w:t>
      </w:r>
      <w:r>
        <w:rPr>
          <w:rFonts w:cstheme="minorHAnsi"/>
          <w:sz w:val="18"/>
          <w:szCs w:val="18"/>
        </w:rPr>
        <w:t xml:space="preserve"> </w:t>
      </w:r>
      <w:r w:rsidRPr="00AE6F99">
        <w:rPr>
          <w:rFonts w:cstheme="minorHAnsi"/>
          <w:sz w:val="18"/>
          <w:szCs w:val="18"/>
        </w:rPr>
        <w:t>profilaxis.</w:t>
      </w:r>
    </w:p>
    <w:p w14:paraId="413541B0" w14:textId="07820343"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b/>
          <w:bCs/>
          <w:sz w:val="18"/>
          <w:szCs w:val="18"/>
        </w:rPr>
        <w:t>**</w:t>
      </w:r>
      <w:r w:rsidRPr="00AE6F99">
        <w:rPr>
          <w:rFonts w:cstheme="minorHAnsi"/>
          <w:sz w:val="18"/>
          <w:szCs w:val="18"/>
        </w:rPr>
        <w:t>La gammaglobulina debe ser administrada tan pronto como sea posible después de la exposición. La efectividad de la gammaglobulina cuando es</w:t>
      </w:r>
      <w:r>
        <w:rPr>
          <w:rFonts w:cstheme="minorHAnsi"/>
          <w:sz w:val="18"/>
          <w:szCs w:val="18"/>
        </w:rPr>
        <w:t xml:space="preserve"> </w:t>
      </w:r>
      <w:r w:rsidRPr="00AE6F99">
        <w:rPr>
          <w:rFonts w:cstheme="minorHAnsi"/>
          <w:sz w:val="18"/>
          <w:szCs w:val="18"/>
        </w:rPr>
        <w:t>administrada más de 7 días después de la exposición percutánea, mucosa o con piel no intacta es desconocida. La dosis de gammaglobulina a aplicar</w:t>
      </w:r>
      <w:r>
        <w:rPr>
          <w:rFonts w:cstheme="minorHAnsi"/>
          <w:sz w:val="18"/>
          <w:szCs w:val="18"/>
        </w:rPr>
        <w:t xml:space="preserve"> </w:t>
      </w:r>
      <w:r w:rsidRPr="00AE6F99">
        <w:rPr>
          <w:rFonts w:cstheme="minorHAnsi"/>
          <w:sz w:val="18"/>
          <w:szCs w:val="18"/>
        </w:rPr>
        <w:t>será la indicada por el fabricante (ver inserto).</w:t>
      </w:r>
    </w:p>
    <w:p w14:paraId="3325DCFF" w14:textId="77777777"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b/>
          <w:bCs/>
          <w:sz w:val="18"/>
          <w:szCs w:val="18"/>
        </w:rPr>
        <w:t>***</w:t>
      </w:r>
      <w:r w:rsidRPr="00AE6F99">
        <w:rPr>
          <w:rFonts w:cstheme="minorHAnsi"/>
          <w:sz w:val="18"/>
          <w:szCs w:val="18"/>
        </w:rPr>
        <w:t xml:space="preserve">Las pruebas serológicas </w:t>
      </w:r>
      <w:proofErr w:type="spellStart"/>
      <w:r w:rsidRPr="00AE6F99">
        <w:rPr>
          <w:rFonts w:cstheme="minorHAnsi"/>
          <w:sz w:val="18"/>
          <w:szCs w:val="18"/>
        </w:rPr>
        <w:t>post-vacunación</w:t>
      </w:r>
      <w:proofErr w:type="spellEnd"/>
      <w:r w:rsidRPr="00AE6F99">
        <w:rPr>
          <w:rFonts w:cstheme="minorHAnsi"/>
          <w:sz w:val="18"/>
          <w:szCs w:val="18"/>
        </w:rPr>
        <w:t xml:space="preserve"> deben realizarse 1-2 meses después de la última dosis del esquema de vacunación contra la hepatitis B y</w:t>
      </w:r>
    </w:p>
    <w:p w14:paraId="4E9BF73B" w14:textId="77777777"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sz w:val="18"/>
          <w:szCs w:val="18"/>
        </w:rPr>
        <w:t>4-6 meses después de la administración de la gammaglobulina para evitar la detección de anticuerpos contra el antígeno de superficie administrados</w:t>
      </w:r>
    </w:p>
    <w:p w14:paraId="50686F0B" w14:textId="77777777"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sz w:val="18"/>
          <w:szCs w:val="18"/>
        </w:rPr>
        <w:t>pasivamente). Debe usarse un método cuantitativo que permita la detección de las concentraciones protectoras de anti-</w:t>
      </w:r>
      <w:proofErr w:type="spellStart"/>
      <w:r w:rsidRPr="00AE6F99">
        <w:rPr>
          <w:rFonts w:cstheme="minorHAnsi"/>
          <w:sz w:val="18"/>
          <w:szCs w:val="18"/>
        </w:rPr>
        <w:t>HBs</w:t>
      </w:r>
      <w:proofErr w:type="spellEnd"/>
      <w:r w:rsidRPr="00AE6F99">
        <w:rPr>
          <w:rFonts w:cstheme="minorHAnsi"/>
          <w:sz w:val="18"/>
          <w:szCs w:val="18"/>
        </w:rPr>
        <w:t xml:space="preserve"> (&gt;10 </w:t>
      </w:r>
      <w:proofErr w:type="spellStart"/>
      <w:r w:rsidRPr="00AE6F99">
        <w:rPr>
          <w:rFonts w:cstheme="minorHAnsi"/>
          <w:sz w:val="18"/>
          <w:szCs w:val="18"/>
        </w:rPr>
        <w:t>mUI</w:t>
      </w:r>
      <w:proofErr w:type="spellEnd"/>
      <w:r w:rsidRPr="00AE6F99">
        <w:rPr>
          <w:rFonts w:cstheme="minorHAnsi"/>
          <w:sz w:val="18"/>
          <w:szCs w:val="18"/>
        </w:rPr>
        <w:t>/</w:t>
      </w:r>
      <w:proofErr w:type="spellStart"/>
      <w:r w:rsidRPr="00AE6F99">
        <w:rPr>
          <w:rFonts w:cstheme="minorHAnsi"/>
          <w:sz w:val="18"/>
          <w:szCs w:val="18"/>
        </w:rPr>
        <w:t>mL</w:t>
      </w:r>
      <w:proofErr w:type="spellEnd"/>
      <w:r w:rsidRPr="00AE6F99">
        <w:rPr>
          <w:rFonts w:cstheme="minorHAnsi"/>
          <w:sz w:val="18"/>
          <w:szCs w:val="18"/>
        </w:rPr>
        <w:t>).</w:t>
      </w:r>
    </w:p>
    <w:p w14:paraId="5178E651" w14:textId="77777777"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b/>
          <w:bCs/>
          <w:sz w:val="18"/>
          <w:szCs w:val="18"/>
        </w:rPr>
        <w:t>&amp;</w:t>
      </w:r>
      <w:r w:rsidRPr="00AE6F99">
        <w:rPr>
          <w:rFonts w:cstheme="minorHAnsi"/>
          <w:sz w:val="18"/>
          <w:szCs w:val="18"/>
        </w:rPr>
        <w:t xml:space="preserve">Un respondedor </w:t>
      </w:r>
      <w:proofErr w:type="spellStart"/>
      <w:r w:rsidRPr="00AE6F99">
        <w:rPr>
          <w:rFonts w:cstheme="minorHAnsi"/>
          <w:sz w:val="18"/>
          <w:szCs w:val="18"/>
        </w:rPr>
        <w:t>esta</w:t>
      </w:r>
      <w:proofErr w:type="spellEnd"/>
      <w:r w:rsidRPr="00AE6F99">
        <w:rPr>
          <w:rFonts w:cstheme="minorHAnsi"/>
          <w:sz w:val="18"/>
          <w:szCs w:val="18"/>
        </w:rPr>
        <w:t xml:space="preserve"> definido como una persona con anti-</w:t>
      </w:r>
      <w:proofErr w:type="spellStart"/>
      <w:r w:rsidRPr="00AE6F99">
        <w:rPr>
          <w:rFonts w:cstheme="minorHAnsi"/>
          <w:sz w:val="18"/>
          <w:szCs w:val="18"/>
        </w:rPr>
        <w:t>HBs</w:t>
      </w:r>
      <w:proofErr w:type="spellEnd"/>
      <w:r w:rsidRPr="00AE6F99">
        <w:rPr>
          <w:rFonts w:cstheme="minorHAnsi"/>
          <w:sz w:val="18"/>
          <w:szCs w:val="18"/>
        </w:rPr>
        <w:t xml:space="preserve"> &gt; 10 </w:t>
      </w:r>
      <w:proofErr w:type="spellStart"/>
      <w:r w:rsidRPr="00AE6F99">
        <w:rPr>
          <w:rFonts w:cstheme="minorHAnsi"/>
          <w:sz w:val="18"/>
          <w:szCs w:val="18"/>
        </w:rPr>
        <w:t>mIU</w:t>
      </w:r>
      <w:proofErr w:type="spellEnd"/>
      <w:r w:rsidRPr="00AE6F99">
        <w:rPr>
          <w:rFonts w:cstheme="minorHAnsi"/>
          <w:sz w:val="18"/>
          <w:szCs w:val="18"/>
        </w:rPr>
        <w:t>/</w:t>
      </w:r>
      <w:proofErr w:type="spellStart"/>
      <w:r w:rsidRPr="00AE6F99">
        <w:rPr>
          <w:rFonts w:cstheme="minorHAnsi"/>
          <w:sz w:val="18"/>
          <w:szCs w:val="18"/>
        </w:rPr>
        <w:t>mL</w:t>
      </w:r>
      <w:proofErr w:type="spellEnd"/>
      <w:r w:rsidRPr="00AE6F99">
        <w:rPr>
          <w:rFonts w:cstheme="minorHAnsi"/>
          <w:sz w:val="18"/>
          <w:szCs w:val="18"/>
        </w:rPr>
        <w:t xml:space="preserve"> después de 3 o más dosis de vacuna contra la hepatitis B.</w:t>
      </w:r>
    </w:p>
    <w:p w14:paraId="26288BCB" w14:textId="77777777" w:rsidR="00AE6F99" w:rsidRPr="00AE6F99" w:rsidRDefault="00AE6F99" w:rsidP="00AE6F99">
      <w:pPr>
        <w:autoSpaceDE w:val="0"/>
        <w:autoSpaceDN w:val="0"/>
        <w:adjustRightInd w:val="0"/>
        <w:spacing w:after="0" w:line="240" w:lineRule="auto"/>
        <w:rPr>
          <w:rFonts w:cstheme="minorHAnsi"/>
          <w:sz w:val="18"/>
          <w:szCs w:val="18"/>
        </w:rPr>
      </w:pPr>
      <w:r w:rsidRPr="00AE6F99">
        <w:rPr>
          <w:rFonts w:cstheme="minorHAnsi"/>
          <w:b/>
          <w:bCs/>
          <w:sz w:val="18"/>
          <w:szCs w:val="18"/>
        </w:rPr>
        <w:t>&amp;&amp;</w:t>
      </w:r>
      <w:r w:rsidRPr="00AE6F99">
        <w:rPr>
          <w:rFonts w:cstheme="minorHAnsi"/>
          <w:sz w:val="18"/>
          <w:szCs w:val="18"/>
        </w:rPr>
        <w:t xml:space="preserve">Un no respondedor </w:t>
      </w:r>
      <w:proofErr w:type="spellStart"/>
      <w:r w:rsidRPr="00AE6F99">
        <w:rPr>
          <w:rFonts w:cstheme="minorHAnsi"/>
          <w:sz w:val="18"/>
          <w:szCs w:val="18"/>
        </w:rPr>
        <w:t>esta</w:t>
      </w:r>
      <w:proofErr w:type="spellEnd"/>
      <w:r w:rsidRPr="00AE6F99">
        <w:rPr>
          <w:rFonts w:cstheme="minorHAnsi"/>
          <w:sz w:val="18"/>
          <w:szCs w:val="18"/>
        </w:rPr>
        <w:t xml:space="preserve"> definido como una persona con anti-</w:t>
      </w:r>
      <w:proofErr w:type="spellStart"/>
      <w:r w:rsidRPr="00AE6F99">
        <w:rPr>
          <w:rFonts w:cstheme="minorHAnsi"/>
          <w:sz w:val="18"/>
          <w:szCs w:val="18"/>
        </w:rPr>
        <w:t>HBs</w:t>
      </w:r>
      <w:proofErr w:type="spellEnd"/>
      <w:r w:rsidRPr="00AE6F99">
        <w:rPr>
          <w:rFonts w:cstheme="minorHAnsi"/>
          <w:sz w:val="18"/>
          <w:szCs w:val="18"/>
        </w:rPr>
        <w:t xml:space="preserve"> &lt; 10 </w:t>
      </w:r>
      <w:proofErr w:type="spellStart"/>
      <w:r w:rsidRPr="00AE6F99">
        <w:rPr>
          <w:rFonts w:cstheme="minorHAnsi"/>
          <w:sz w:val="18"/>
          <w:szCs w:val="18"/>
        </w:rPr>
        <w:t>mIU</w:t>
      </w:r>
      <w:proofErr w:type="spellEnd"/>
      <w:r w:rsidRPr="00AE6F99">
        <w:rPr>
          <w:rFonts w:cstheme="minorHAnsi"/>
          <w:sz w:val="18"/>
          <w:szCs w:val="18"/>
        </w:rPr>
        <w:t>/</w:t>
      </w:r>
      <w:proofErr w:type="spellStart"/>
      <w:r w:rsidRPr="00AE6F99">
        <w:rPr>
          <w:rFonts w:cstheme="minorHAnsi"/>
          <w:sz w:val="18"/>
          <w:szCs w:val="18"/>
        </w:rPr>
        <w:t>mL</w:t>
      </w:r>
      <w:proofErr w:type="spellEnd"/>
      <w:r w:rsidRPr="00AE6F99">
        <w:rPr>
          <w:rFonts w:cstheme="minorHAnsi"/>
          <w:sz w:val="18"/>
          <w:szCs w:val="18"/>
        </w:rPr>
        <w:t xml:space="preserve"> después de 6 o más dosis de vacuna contra la hepatitis B.</w:t>
      </w:r>
    </w:p>
    <w:p w14:paraId="607F9149" w14:textId="21C3C502" w:rsidR="00A13820" w:rsidRDefault="00AE6F99" w:rsidP="00AE6F99">
      <w:pPr>
        <w:rPr>
          <w:rFonts w:cstheme="minorHAnsi"/>
          <w:sz w:val="18"/>
          <w:szCs w:val="18"/>
        </w:rPr>
      </w:pPr>
      <w:r w:rsidRPr="00AE6F99">
        <w:rPr>
          <w:rFonts w:cstheme="minorHAnsi"/>
          <w:b/>
          <w:bCs/>
          <w:sz w:val="18"/>
          <w:szCs w:val="18"/>
        </w:rPr>
        <w:t>&amp;&amp;&amp;</w:t>
      </w:r>
      <w:r w:rsidRPr="00AE6F99">
        <w:rPr>
          <w:rFonts w:cstheme="minorHAnsi"/>
          <w:sz w:val="18"/>
          <w:szCs w:val="18"/>
        </w:rPr>
        <w:t>En caso de rechazar la vacunación, aplicar dos dosis de gammaglobulina con un intervalo de 4 semanas.</w:t>
      </w:r>
    </w:p>
    <w:p w14:paraId="6E69A2E2" w14:textId="659AAB0A" w:rsidR="00AE6F99" w:rsidRDefault="00AE6F99" w:rsidP="00AE6F99">
      <w:pPr>
        <w:rPr>
          <w:rFonts w:cstheme="minorHAnsi"/>
          <w:sz w:val="18"/>
          <w:szCs w:val="18"/>
        </w:rPr>
      </w:pPr>
    </w:p>
    <w:p w14:paraId="5DD49C05" w14:textId="77777777" w:rsidR="00AE6F99" w:rsidRPr="00AE6F99" w:rsidRDefault="00AE6F99" w:rsidP="00C63BD4">
      <w:pPr>
        <w:pStyle w:val="Ttulo2"/>
      </w:pPr>
      <w:bookmarkStart w:id="16" w:name="_Toc84920676"/>
      <w:r w:rsidRPr="00AE6F99">
        <w:t>5.6.6 Anticoncepción de emergencia.</w:t>
      </w:r>
      <w:bookmarkEnd w:id="16"/>
    </w:p>
    <w:p w14:paraId="7AD8B059" w14:textId="0DA9E50E" w:rsidR="00AE6F99" w:rsidRPr="00AE6F99" w:rsidRDefault="00AE6F99" w:rsidP="00AE6F99">
      <w:pPr>
        <w:rPr>
          <w:rFonts w:cstheme="minorHAnsi"/>
        </w:rPr>
      </w:pPr>
      <w:r w:rsidRPr="00AE6F99">
        <w:rPr>
          <w:rFonts w:cstheme="minorHAnsi"/>
        </w:rPr>
        <w:t xml:space="preserve">• Dentro de las 72 horas desde la exposición: </w:t>
      </w:r>
      <w:proofErr w:type="spellStart"/>
      <w:r w:rsidRPr="00AE6F99">
        <w:rPr>
          <w:rFonts w:cstheme="minorHAnsi"/>
        </w:rPr>
        <w:t>Levonorgestrel</w:t>
      </w:r>
      <w:proofErr w:type="spellEnd"/>
      <w:r w:rsidRPr="00AE6F99">
        <w:rPr>
          <w:rFonts w:cstheme="minorHAnsi"/>
        </w:rPr>
        <w:t xml:space="preserve"> tabletas por 0,75 mg: Dos tabletas en dosis</w:t>
      </w:r>
      <w:r w:rsidR="009D255C">
        <w:rPr>
          <w:rFonts w:cstheme="minorHAnsi"/>
        </w:rPr>
        <w:t xml:space="preserve"> </w:t>
      </w:r>
      <w:r w:rsidRPr="00AE6F99">
        <w:rPr>
          <w:rFonts w:cstheme="minorHAnsi"/>
        </w:rPr>
        <w:t>única.</w:t>
      </w:r>
    </w:p>
    <w:p w14:paraId="17CE46DF" w14:textId="167A329F" w:rsidR="00AE6F99" w:rsidRPr="00AE6F99" w:rsidRDefault="00AE6F99" w:rsidP="00AE6F99">
      <w:pPr>
        <w:rPr>
          <w:rFonts w:cstheme="minorHAnsi"/>
        </w:rPr>
      </w:pPr>
      <w:r w:rsidRPr="00AE6F99">
        <w:rPr>
          <w:rFonts w:cstheme="minorHAnsi"/>
        </w:rPr>
        <w:t xml:space="preserve">• Después de las 72 horas, pero antes de 120 horas desde la exposición: </w:t>
      </w:r>
      <w:proofErr w:type="spellStart"/>
      <w:r w:rsidRPr="00AE6F99">
        <w:rPr>
          <w:rFonts w:cstheme="minorHAnsi"/>
        </w:rPr>
        <w:t>Levonorgestrel</w:t>
      </w:r>
      <w:proofErr w:type="spellEnd"/>
      <w:r w:rsidRPr="00AE6F99">
        <w:rPr>
          <w:rFonts w:cstheme="minorHAnsi"/>
        </w:rPr>
        <w:t xml:space="preserve"> tabletas</w:t>
      </w:r>
      <w:r w:rsidR="009D255C">
        <w:rPr>
          <w:rFonts w:cstheme="minorHAnsi"/>
        </w:rPr>
        <w:t xml:space="preserve"> </w:t>
      </w:r>
      <w:r w:rsidRPr="00AE6F99">
        <w:rPr>
          <w:rFonts w:cstheme="minorHAnsi"/>
        </w:rPr>
        <w:t>por 0,75</w:t>
      </w:r>
      <w:r w:rsidR="009D255C">
        <w:rPr>
          <w:rFonts w:cstheme="minorHAnsi"/>
        </w:rPr>
        <w:t xml:space="preserve"> </w:t>
      </w:r>
      <w:r w:rsidRPr="00AE6F99">
        <w:rPr>
          <w:rFonts w:cstheme="minorHAnsi"/>
        </w:rPr>
        <w:t>mg: Dos tabletas en dosis única y adicionalmente dispositivo intrauterino (DIU).</w:t>
      </w:r>
    </w:p>
    <w:p w14:paraId="5F819002" w14:textId="77777777" w:rsidR="00AE6F99" w:rsidRPr="00AE6F99" w:rsidRDefault="00AE6F99" w:rsidP="00C63BD4">
      <w:pPr>
        <w:pStyle w:val="Ttulo1"/>
      </w:pPr>
      <w:bookmarkStart w:id="17" w:name="_Toc84920677"/>
      <w:r w:rsidRPr="00AE6F99">
        <w:t>6. PLAN DE SEGUIMIENTO</w:t>
      </w:r>
      <w:bookmarkEnd w:id="17"/>
    </w:p>
    <w:p w14:paraId="1617DCC8" w14:textId="77777777" w:rsidR="009B138C" w:rsidRDefault="009B138C" w:rsidP="00AE6F99">
      <w:pPr>
        <w:rPr>
          <w:rFonts w:cstheme="minorHAnsi"/>
        </w:rPr>
      </w:pPr>
    </w:p>
    <w:p w14:paraId="79A0910C" w14:textId="2946A43F" w:rsidR="00AE6F99" w:rsidRDefault="00AE6F99" w:rsidP="00AE6F99">
      <w:pPr>
        <w:rPr>
          <w:rFonts w:cstheme="minorHAnsi"/>
        </w:rPr>
      </w:pPr>
      <w:r w:rsidRPr="00AE6F99">
        <w:rPr>
          <w:rFonts w:cstheme="minorHAnsi"/>
        </w:rPr>
        <w:t>En todos los casos de exposición ocupacional o no ocupacional, con o sin profilaxis post exposición</w:t>
      </w:r>
      <w:r w:rsidR="009D255C">
        <w:rPr>
          <w:rFonts w:cstheme="minorHAnsi"/>
        </w:rPr>
        <w:t xml:space="preserve"> </w:t>
      </w:r>
      <w:r w:rsidRPr="00AE6F99">
        <w:rPr>
          <w:rFonts w:cstheme="minorHAnsi"/>
        </w:rPr>
        <w:t xml:space="preserve">administrada, se debe instaurar un plan de seguimiento clínico y de laboratorio, información y </w:t>
      </w:r>
      <w:r w:rsidRPr="00AE6F99">
        <w:rPr>
          <w:rFonts w:cstheme="minorHAnsi"/>
        </w:rPr>
        <w:lastRenderedPageBreak/>
        <w:t>apoyo</w:t>
      </w:r>
      <w:r w:rsidR="009D255C">
        <w:rPr>
          <w:rFonts w:cstheme="minorHAnsi"/>
        </w:rPr>
        <w:t xml:space="preserve"> </w:t>
      </w:r>
      <w:r w:rsidRPr="00AE6F99">
        <w:rPr>
          <w:rFonts w:cstheme="minorHAnsi"/>
        </w:rPr>
        <w:t>psicológico, al respecto de su exposición al VIH, las ITS, la Hepatitis B y la Hepatitis C, así como del riesgo de</w:t>
      </w:r>
      <w:r w:rsidR="009D255C">
        <w:rPr>
          <w:rFonts w:cstheme="minorHAnsi"/>
        </w:rPr>
        <w:t xml:space="preserve"> </w:t>
      </w:r>
      <w:r w:rsidRPr="00AE6F99">
        <w:rPr>
          <w:rFonts w:cstheme="minorHAnsi"/>
        </w:rPr>
        <w:t>embarazo, si aplica.</w:t>
      </w:r>
    </w:p>
    <w:p w14:paraId="24C2A831" w14:textId="367A63AA" w:rsidR="009D255C" w:rsidRPr="009D255C" w:rsidRDefault="009D255C" w:rsidP="009D255C">
      <w:pPr>
        <w:rPr>
          <w:rFonts w:cstheme="minorHAnsi"/>
        </w:rPr>
      </w:pPr>
      <w:r w:rsidRPr="009D255C">
        <w:rPr>
          <w:rFonts w:cstheme="minorHAnsi"/>
        </w:rPr>
        <w:t>El seguimiento de las personas expuestas es de seis meses. La única excepción es la realización de una</w:t>
      </w:r>
      <w:r>
        <w:rPr>
          <w:rFonts w:cstheme="minorHAnsi"/>
        </w:rPr>
        <w:t xml:space="preserve"> </w:t>
      </w:r>
      <w:r w:rsidRPr="009D255C">
        <w:rPr>
          <w:rFonts w:cstheme="minorHAnsi"/>
        </w:rPr>
        <w:t>nueva serología para VIH a las 48 semanas, en el caso de sufrir una infección por el VHC, tras la exposición a</w:t>
      </w:r>
      <w:r>
        <w:rPr>
          <w:rFonts w:cstheme="minorHAnsi"/>
        </w:rPr>
        <w:t xml:space="preserve"> </w:t>
      </w:r>
      <w:r w:rsidRPr="009D255C">
        <w:rPr>
          <w:rFonts w:cstheme="minorHAnsi"/>
        </w:rPr>
        <w:t>una fuente coinfectada por el VIH-VHC.</w:t>
      </w:r>
    </w:p>
    <w:p w14:paraId="580FE33F" w14:textId="24D3154D" w:rsidR="009D255C" w:rsidRPr="009D255C" w:rsidRDefault="009D255C" w:rsidP="009D255C">
      <w:pPr>
        <w:rPr>
          <w:rFonts w:cstheme="minorHAnsi"/>
        </w:rPr>
      </w:pPr>
      <w:r w:rsidRPr="009D255C">
        <w:rPr>
          <w:rFonts w:cstheme="minorHAnsi"/>
        </w:rPr>
        <w:t>En los laboratorios donde dispongan de determinación combinada de antígeno / anticuerpo para VIH de cuarta</w:t>
      </w:r>
      <w:r>
        <w:rPr>
          <w:rFonts w:cstheme="minorHAnsi"/>
        </w:rPr>
        <w:t xml:space="preserve"> </w:t>
      </w:r>
      <w:r w:rsidRPr="009D255C">
        <w:rPr>
          <w:rFonts w:cstheme="minorHAnsi"/>
        </w:rPr>
        <w:t xml:space="preserve">generación, el seguimiento podría reducirse a seis semanas y posteriormente cuatro meses </w:t>
      </w:r>
      <w:proofErr w:type="spellStart"/>
      <w:r w:rsidRPr="009D255C">
        <w:rPr>
          <w:rFonts w:cstheme="minorHAnsi"/>
        </w:rPr>
        <w:t>post-exposición</w:t>
      </w:r>
      <w:proofErr w:type="spellEnd"/>
      <w:r w:rsidRPr="009D255C">
        <w:rPr>
          <w:rFonts w:cstheme="minorHAnsi"/>
        </w:rPr>
        <w:t>.</w:t>
      </w:r>
    </w:p>
    <w:p w14:paraId="748DC34C" w14:textId="77777777" w:rsidR="009D255C" w:rsidRPr="009D255C" w:rsidRDefault="009D255C" w:rsidP="009D255C">
      <w:pPr>
        <w:rPr>
          <w:rFonts w:cstheme="minorHAnsi"/>
        </w:rPr>
      </w:pPr>
      <w:proofErr w:type="gramStart"/>
      <w:r w:rsidRPr="009D255C">
        <w:rPr>
          <w:rFonts w:cstheme="minorHAnsi"/>
        </w:rPr>
        <w:t>Las pruebas a realizar</w:t>
      </w:r>
      <w:proofErr w:type="gramEnd"/>
      <w:r w:rsidRPr="009D255C">
        <w:rPr>
          <w:rFonts w:cstheme="minorHAnsi"/>
        </w:rPr>
        <w:t>, así como sus controles se detallan en el cronograma de la Tabla 9.</w:t>
      </w:r>
    </w:p>
    <w:p w14:paraId="46A9C153" w14:textId="7F7141EB" w:rsidR="009D255C" w:rsidRPr="009D255C" w:rsidRDefault="009D255C" w:rsidP="009D255C">
      <w:pPr>
        <w:rPr>
          <w:rFonts w:cstheme="minorHAnsi"/>
        </w:rPr>
      </w:pPr>
      <w:r w:rsidRPr="009D255C">
        <w:rPr>
          <w:rFonts w:cstheme="minorHAnsi"/>
        </w:rPr>
        <w:t>De otra parte, las personas que han sufrido una exposición de riesgo, deben ser informadas sobre los signos y</w:t>
      </w:r>
      <w:r>
        <w:rPr>
          <w:rFonts w:cstheme="minorHAnsi"/>
        </w:rPr>
        <w:t xml:space="preserve"> </w:t>
      </w:r>
      <w:r w:rsidRPr="009D255C">
        <w:rPr>
          <w:rFonts w:cstheme="minorHAnsi"/>
        </w:rPr>
        <w:t xml:space="preserve">síntomas de la infección aguda por el VIH: fiebre, </w:t>
      </w:r>
      <w:proofErr w:type="spellStart"/>
      <w:r w:rsidRPr="009D255C">
        <w:rPr>
          <w:rFonts w:cstheme="minorHAnsi"/>
        </w:rPr>
        <w:t>linfadenopatías</w:t>
      </w:r>
      <w:proofErr w:type="spellEnd"/>
      <w:r w:rsidRPr="009D255C">
        <w:rPr>
          <w:rFonts w:cstheme="minorHAnsi"/>
        </w:rPr>
        <w:t>, faringitis, exantemas, mialgias o artralgias,</w:t>
      </w:r>
      <w:r>
        <w:rPr>
          <w:rFonts w:cstheme="minorHAnsi"/>
        </w:rPr>
        <w:t xml:space="preserve"> </w:t>
      </w:r>
      <w:r w:rsidRPr="009D255C">
        <w:rPr>
          <w:rFonts w:cstheme="minorHAnsi"/>
        </w:rPr>
        <w:t xml:space="preserve">o con menos frecuencia, diarrea, cefalea, nauseas/vómito, </w:t>
      </w:r>
      <w:proofErr w:type="spellStart"/>
      <w:r w:rsidRPr="009D255C">
        <w:rPr>
          <w:rFonts w:cstheme="minorHAnsi"/>
        </w:rPr>
        <w:t>hepato</w:t>
      </w:r>
      <w:proofErr w:type="spellEnd"/>
      <w:r w:rsidRPr="009D255C">
        <w:rPr>
          <w:rFonts w:cstheme="minorHAnsi"/>
        </w:rPr>
        <w:t>-esplenomegalia, pérdida de peso aguda, o</w:t>
      </w:r>
      <w:r>
        <w:rPr>
          <w:rFonts w:cstheme="minorHAnsi"/>
        </w:rPr>
        <w:t xml:space="preserve"> </w:t>
      </w:r>
      <w:r w:rsidRPr="009D255C">
        <w:rPr>
          <w:rFonts w:cstheme="minorHAnsi"/>
        </w:rPr>
        <w:t>síntomas neurológicos; dichos signos o síntomas del Síndrome retroviral agudo, suelen presentarse hasta</w:t>
      </w:r>
      <w:r>
        <w:rPr>
          <w:rFonts w:cstheme="minorHAnsi"/>
        </w:rPr>
        <w:t xml:space="preserve"> </w:t>
      </w:r>
      <w:r w:rsidRPr="009D255C">
        <w:rPr>
          <w:rFonts w:cstheme="minorHAnsi"/>
        </w:rPr>
        <w:t>diez semanas después de haberse producido la infección, siendo este un período de alta infectividad. En el</w:t>
      </w:r>
      <w:r>
        <w:rPr>
          <w:rFonts w:cstheme="minorHAnsi"/>
        </w:rPr>
        <w:t xml:space="preserve"> </w:t>
      </w:r>
      <w:r w:rsidRPr="009D255C">
        <w:rPr>
          <w:rFonts w:cstheme="minorHAnsi"/>
        </w:rPr>
        <w:t>caso de que dichos síntomas o signos aparezcan, se debe realizar una carga viral del VIH, con independencia</w:t>
      </w:r>
      <w:r>
        <w:rPr>
          <w:rFonts w:cstheme="minorHAnsi"/>
        </w:rPr>
        <w:t xml:space="preserve"> </w:t>
      </w:r>
      <w:r w:rsidRPr="009D255C">
        <w:rPr>
          <w:rFonts w:cstheme="minorHAnsi"/>
        </w:rPr>
        <w:t>del tiempo transcurrido desde la exposición accidental.</w:t>
      </w:r>
    </w:p>
    <w:p w14:paraId="50BE2E0D" w14:textId="6BEDD4F3" w:rsidR="009D255C" w:rsidRPr="009D255C" w:rsidRDefault="009D255C" w:rsidP="009D255C">
      <w:pPr>
        <w:rPr>
          <w:rFonts w:cstheme="minorHAnsi"/>
        </w:rPr>
      </w:pPr>
      <w:r w:rsidRPr="009D255C">
        <w:rPr>
          <w:rFonts w:cstheme="minorHAnsi"/>
        </w:rPr>
        <w:t>Los pacientes que inicien PPE, además, deben ser informados de los efectos secundarios del tratamiento</w:t>
      </w:r>
      <w:r>
        <w:rPr>
          <w:rFonts w:cstheme="minorHAnsi"/>
        </w:rPr>
        <w:t xml:space="preserve"> </w:t>
      </w:r>
      <w:r w:rsidRPr="009D255C">
        <w:rPr>
          <w:rFonts w:cstheme="minorHAnsi"/>
        </w:rPr>
        <w:t>antirretroviral, de las posibles interacciones medicamentosas y de la necesidad de tener una buena</w:t>
      </w:r>
      <w:r>
        <w:rPr>
          <w:rFonts w:cstheme="minorHAnsi"/>
        </w:rPr>
        <w:t xml:space="preserve"> </w:t>
      </w:r>
      <w:r w:rsidRPr="009D255C">
        <w:rPr>
          <w:rFonts w:cstheme="minorHAnsi"/>
        </w:rPr>
        <w:t>adherencia al mismo, para que resulte exitoso (mínimo del 95%).</w:t>
      </w:r>
    </w:p>
    <w:p w14:paraId="408B9D11" w14:textId="4EE08F85" w:rsidR="009D255C" w:rsidRPr="009D255C" w:rsidRDefault="009D255C" w:rsidP="009D255C">
      <w:pPr>
        <w:rPr>
          <w:rFonts w:cstheme="minorHAnsi"/>
        </w:rPr>
      </w:pPr>
      <w:r w:rsidRPr="009D255C">
        <w:rPr>
          <w:rFonts w:cstheme="minorHAnsi"/>
        </w:rPr>
        <w:t>Así mismo, se debe recomendar a la persona expuesta, prácticas que permitan evitar la posible trasmisión del</w:t>
      </w:r>
      <w:r>
        <w:rPr>
          <w:rFonts w:cstheme="minorHAnsi"/>
        </w:rPr>
        <w:t xml:space="preserve"> </w:t>
      </w:r>
      <w:r w:rsidRPr="009D255C">
        <w:rPr>
          <w:rFonts w:cstheme="minorHAnsi"/>
        </w:rPr>
        <w:t>VIH a terceros durante el período de seguimiento, mediante la utilización de condón, entre otros (IIIA).</w:t>
      </w:r>
    </w:p>
    <w:p w14:paraId="23258E1D" w14:textId="7DF14A4C" w:rsidR="009D255C" w:rsidRDefault="009D255C" w:rsidP="009D255C">
      <w:pPr>
        <w:rPr>
          <w:rFonts w:cstheme="minorHAnsi"/>
        </w:rPr>
      </w:pPr>
      <w:r w:rsidRPr="009D255C">
        <w:rPr>
          <w:rFonts w:cstheme="minorHAnsi"/>
        </w:rPr>
        <w:t>Igualmente, se debe dar soporte emocional a la persona expuesta y a su familia. Se debe enfatizar en la</w:t>
      </w:r>
      <w:r>
        <w:rPr>
          <w:rFonts w:cstheme="minorHAnsi"/>
        </w:rPr>
        <w:t xml:space="preserve"> </w:t>
      </w:r>
      <w:r w:rsidRPr="009D255C">
        <w:rPr>
          <w:rFonts w:cstheme="minorHAnsi"/>
        </w:rPr>
        <w:t>recomendación de no donar sangre u órganos durante el período de seguimiento para prevenir la posible</w:t>
      </w:r>
      <w:r>
        <w:rPr>
          <w:rFonts w:cstheme="minorHAnsi"/>
        </w:rPr>
        <w:t xml:space="preserve"> </w:t>
      </w:r>
      <w:r w:rsidRPr="009D255C">
        <w:rPr>
          <w:rFonts w:cstheme="minorHAnsi"/>
        </w:rPr>
        <w:t>transmisión de ITS, VIH o Hepatitis B o C.</w:t>
      </w:r>
    </w:p>
    <w:p w14:paraId="2CBC376D" w14:textId="4BA72724" w:rsidR="00C0484C" w:rsidRDefault="00C0484C" w:rsidP="009D255C">
      <w:pPr>
        <w:rPr>
          <w:rFonts w:cstheme="minorHAnsi"/>
        </w:rPr>
      </w:pPr>
    </w:p>
    <w:p w14:paraId="6695620C" w14:textId="559D3B77" w:rsidR="00C0484C" w:rsidRDefault="00C0484C" w:rsidP="00C0484C">
      <w:pPr>
        <w:rPr>
          <w:rFonts w:cstheme="minorHAnsi"/>
          <w:b/>
          <w:bCs/>
        </w:rPr>
      </w:pPr>
      <w:r w:rsidRPr="00C0484C">
        <w:rPr>
          <w:rFonts w:cstheme="minorHAnsi"/>
          <w:b/>
          <w:bCs/>
        </w:rPr>
        <w:t>Tabla 11. Seguimiento Paraclínico de las personas con exposición de riesgo ante las ITS,</w:t>
      </w:r>
      <w:r w:rsidRPr="00C0484C">
        <w:rPr>
          <w:rFonts w:cstheme="minorHAnsi"/>
          <w:b/>
          <w:bCs/>
        </w:rPr>
        <w:t xml:space="preserve"> </w:t>
      </w:r>
      <w:r w:rsidRPr="00C0484C">
        <w:rPr>
          <w:rFonts w:cstheme="minorHAnsi"/>
          <w:b/>
          <w:bCs/>
        </w:rPr>
        <w:t>VIH y Hepatitis B y C.17</w:t>
      </w:r>
    </w:p>
    <w:p w14:paraId="0BFF33A7" w14:textId="4287D187" w:rsidR="0069661E" w:rsidRPr="0069661E" w:rsidRDefault="0069661E" w:rsidP="0069661E">
      <w:pPr>
        <w:rPr>
          <w:rFonts w:cstheme="minorHAnsi"/>
          <w:sz w:val="20"/>
          <w:szCs w:val="20"/>
        </w:rPr>
      </w:pPr>
      <w:r w:rsidRPr="0069661E">
        <w:rPr>
          <w:rFonts w:cstheme="minorHAnsi"/>
          <w:sz w:val="20"/>
          <w:szCs w:val="20"/>
        </w:rPr>
        <w:t xml:space="preserve">17 Documento de Consenso sobre Profilaxis </w:t>
      </w:r>
      <w:proofErr w:type="spellStart"/>
      <w:r w:rsidRPr="0069661E">
        <w:rPr>
          <w:rFonts w:cstheme="minorHAnsi"/>
          <w:sz w:val="20"/>
          <w:szCs w:val="20"/>
        </w:rPr>
        <w:t>post-exposición</w:t>
      </w:r>
      <w:proofErr w:type="spellEnd"/>
      <w:r w:rsidRPr="0069661E">
        <w:rPr>
          <w:rFonts w:cstheme="minorHAnsi"/>
          <w:sz w:val="20"/>
          <w:szCs w:val="20"/>
        </w:rPr>
        <w:t xml:space="preserve"> ocupacional y no ocupacional en relación con el VIH, VHB y VHC en</w:t>
      </w:r>
      <w:r w:rsidRPr="0069661E">
        <w:rPr>
          <w:rFonts w:cstheme="minorHAnsi"/>
          <w:sz w:val="20"/>
          <w:szCs w:val="20"/>
        </w:rPr>
        <w:t xml:space="preserve"> </w:t>
      </w:r>
      <w:r w:rsidRPr="0069661E">
        <w:rPr>
          <w:rFonts w:cstheme="minorHAnsi"/>
          <w:sz w:val="20"/>
          <w:szCs w:val="20"/>
        </w:rPr>
        <w:t>adultos y niños. GESIDA Marzo de 2015.</w:t>
      </w:r>
    </w:p>
    <w:p w14:paraId="03B8C825" w14:textId="62E2E232" w:rsidR="00C0484C" w:rsidRDefault="00C0484C" w:rsidP="00C0484C">
      <w:pPr>
        <w:rPr>
          <w:rFonts w:cstheme="minorHAnsi"/>
          <w:b/>
          <w:bC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229"/>
        <w:gridCol w:w="1222"/>
        <w:gridCol w:w="1220"/>
        <w:gridCol w:w="1220"/>
        <w:gridCol w:w="1406"/>
        <w:gridCol w:w="1221"/>
      </w:tblGrid>
      <w:tr w:rsidR="009C3991" w14:paraId="1419902F" w14:textId="77777777" w:rsidTr="00AF157B">
        <w:tc>
          <w:tcPr>
            <w:tcW w:w="1289" w:type="dxa"/>
            <w:shd w:val="clear" w:color="auto" w:fill="BFBFBF" w:themeFill="background1" w:themeFillShade="BF"/>
          </w:tcPr>
          <w:p w14:paraId="29C08503" w14:textId="77777777" w:rsidR="00451BBE" w:rsidRDefault="00451BBE" w:rsidP="003414C0">
            <w:pPr>
              <w:jc w:val="center"/>
              <w:rPr>
                <w:rFonts w:cstheme="minorHAnsi"/>
                <w:b/>
                <w:bCs/>
                <w:sz w:val="20"/>
                <w:szCs w:val="20"/>
              </w:rPr>
            </w:pPr>
          </w:p>
          <w:p w14:paraId="60E74C24" w14:textId="624C720F" w:rsidR="00C0484C" w:rsidRPr="00C0484C" w:rsidRDefault="00C0484C" w:rsidP="003414C0">
            <w:pPr>
              <w:jc w:val="center"/>
              <w:rPr>
                <w:rFonts w:cstheme="minorHAnsi"/>
                <w:b/>
                <w:bCs/>
                <w:sz w:val="20"/>
                <w:szCs w:val="20"/>
              </w:rPr>
            </w:pPr>
            <w:r w:rsidRPr="00C0484C">
              <w:rPr>
                <w:rFonts w:cstheme="minorHAnsi"/>
                <w:b/>
                <w:bCs/>
                <w:sz w:val="20"/>
                <w:szCs w:val="20"/>
              </w:rPr>
              <w:t>Tipo de análisis</w:t>
            </w:r>
          </w:p>
        </w:tc>
        <w:tc>
          <w:tcPr>
            <w:tcW w:w="1255" w:type="dxa"/>
            <w:shd w:val="clear" w:color="auto" w:fill="BFBFBF" w:themeFill="background1" w:themeFillShade="BF"/>
          </w:tcPr>
          <w:p w14:paraId="3BEB185D" w14:textId="291D40D2" w:rsidR="00C0484C" w:rsidRPr="00C0484C" w:rsidRDefault="00C0484C" w:rsidP="003414C0">
            <w:pPr>
              <w:jc w:val="center"/>
              <w:rPr>
                <w:rFonts w:cstheme="minorHAnsi"/>
                <w:b/>
                <w:bCs/>
                <w:sz w:val="20"/>
                <w:szCs w:val="20"/>
              </w:rPr>
            </w:pPr>
            <w:r w:rsidRPr="00C0484C">
              <w:rPr>
                <w:rFonts w:cstheme="minorHAnsi"/>
                <w:b/>
                <w:bCs/>
                <w:sz w:val="20"/>
                <w:szCs w:val="20"/>
              </w:rPr>
              <w:t>Al momento</w:t>
            </w:r>
            <w:r w:rsidR="00451BBE">
              <w:rPr>
                <w:rFonts w:cstheme="minorHAnsi"/>
                <w:b/>
                <w:bCs/>
                <w:sz w:val="20"/>
                <w:szCs w:val="20"/>
              </w:rPr>
              <w:t xml:space="preserve"> </w:t>
            </w:r>
            <w:r w:rsidRPr="00C0484C">
              <w:rPr>
                <w:rFonts w:cstheme="minorHAnsi"/>
                <w:b/>
                <w:bCs/>
                <w:sz w:val="20"/>
                <w:szCs w:val="20"/>
              </w:rPr>
              <w:t>de</w:t>
            </w:r>
          </w:p>
          <w:p w14:paraId="451278B5" w14:textId="77777777" w:rsidR="00C0484C" w:rsidRPr="00C0484C" w:rsidRDefault="00C0484C" w:rsidP="003414C0">
            <w:pPr>
              <w:jc w:val="center"/>
              <w:rPr>
                <w:rFonts w:cstheme="minorHAnsi"/>
                <w:b/>
                <w:bCs/>
                <w:sz w:val="20"/>
                <w:szCs w:val="20"/>
              </w:rPr>
            </w:pPr>
            <w:r w:rsidRPr="00C0484C">
              <w:rPr>
                <w:rFonts w:cstheme="minorHAnsi"/>
                <w:b/>
                <w:bCs/>
                <w:sz w:val="20"/>
                <w:szCs w:val="20"/>
              </w:rPr>
              <w:t>la profilaxis</w:t>
            </w:r>
          </w:p>
          <w:p w14:paraId="2460F598" w14:textId="70AD982F" w:rsidR="00C0484C" w:rsidRPr="00C0484C" w:rsidRDefault="00C0484C" w:rsidP="003414C0">
            <w:pPr>
              <w:jc w:val="center"/>
              <w:rPr>
                <w:rFonts w:cstheme="minorHAnsi"/>
                <w:b/>
                <w:bCs/>
                <w:sz w:val="20"/>
                <w:szCs w:val="20"/>
              </w:rPr>
            </w:pPr>
            <w:r w:rsidRPr="00C0484C">
              <w:rPr>
                <w:rFonts w:cstheme="minorHAnsi"/>
                <w:b/>
                <w:bCs/>
                <w:sz w:val="20"/>
                <w:szCs w:val="20"/>
              </w:rPr>
              <w:t>(Basal)</w:t>
            </w:r>
          </w:p>
        </w:tc>
        <w:tc>
          <w:tcPr>
            <w:tcW w:w="1255" w:type="dxa"/>
            <w:shd w:val="clear" w:color="auto" w:fill="BFBFBF" w:themeFill="background1" w:themeFillShade="BF"/>
          </w:tcPr>
          <w:p w14:paraId="7BF7CF00" w14:textId="77777777" w:rsidR="00C0484C" w:rsidRPr="00C0484C" w:rsidRDefault="00C0484C" w:rsidP="003414C0">
            <w:pPr>
              <w:jc w:val="center"/>
              <w:rPr>
                <w:rFonts w:cstheme="minorHAnsi"/>
                <w:b/>
                <w:bCs/>
                <w:sz w:val="20"/>
                <w:szCs w:val="20"/>
              </w:rPr>
            </w:pPr>
            <w:r w:rsidRPr="00C0484C">
              <w:rPr>
                <w:rFonts w:cstheme="minorHAnsi"/>
                <w:b/>
                <w:bCs/>
                <w:sz w:val="20"/>
                <w:szCs w:val="20"/>
              </w:rPr>
              <w:t>Según</w:t>
            </w:r>
          </w:p>
          <w:p w14:paraId="36BA8D01" w14:textId="6CCD2F3B" w:rsidR="00C0484C" w:rsidRPr="00C0484C" w:rsidRDefault="00C0484C" w:rsidP="003414C0">
            <w:pPr>
              <w:jc w:val="center"/>
              <w:rPr>
                <w:rFonts w:cstheme="minorHAnsi"/>
                <w:b/>
                <w:bCs/>
                <w:sz w:val="20"/>
                <w:szCs w:val="20"/>
              </w:rPr>
            </w:pPr>
            <w:r w:rsidRPr="00C0484C">
              <w:rPr>
                <w:rFonts w:cstheme="minorHAnsi"/>
                <w:b/>
                <w:bCs/>
                <w:sz w:val="20"/>
                <w:szCs w:val="20"/>
              </w:rPr>
              <w:t>síntomas</w:t>
            </w:r>
          </w:p>
        </w:tc>
        <w:tc>
          <w:tcPr>
            <w:tcW w:w="1257" w:type="dxa"/>
            <w:shd w:val="clear" w:color="auto" w:fill="BFBFBF" w:themeFill="background1" w:themeFillShade="BF"/>
          </w:tcPr>
          <w:p w14:paraId="7E1B44E5" w14:textId="77777777" w:rsidR="00451BBE" w:rsidRDefault="00451BBE" w:rsidP="003414C0">
            <w:pPr>
              <w:jc w:val="center"/>
              <w:rPr>
                <w:rFonts w:cstheme="minorHAnsi"/>
                <w:b/>
                <w:bCs/>
                <w:sz w:val="20"/>
                <w:szCs w:val="20"/>
              </w:rPr>
            </w:pPr>
          </w:p>
          <w:p w14:paraId="2DC02F77" w14:textId="481C3B49" w:rsidR="00C0484C" w:rsidRPr="00451BBE" w:rsidRDefault="00C0484C" w:rsidP="003414C0">
            <w:pPr>
              <w:jc w:val="center"/>
              <w:rPr>
                <w:rFonts w:cstheme="minorHAnsi"/>
                <w:b/>
                <w:bCs/>
                <w:sz w:val="20"/>
                <w:szCs w:val="20"/>
              </w:rPr>
            </w:pPr>
            <w:r w:rsidRPr="00451BBE">
              <w:rPr>
                <w:rFonts w:cstheme="minorHAnsi"/>
                <w:b/>
                <w:bCs/>
                <w:sz w:val="20"/>
                <w:szCs w:val="20"/>
              </w:rPr>
              <w:t>2 semanas</w:t>
            </w:r>
          </w:p>
        </w:tc>
        <w:tc>
          <w:tcPr>
            <w:tcW w:w="1257" w:type="dxa"/>
            <w:shd w:val="clear" w:color="auto" w:fill="BFBFBF" w:themeFill="background1" w:themeFillShade="BF"/>
          </w:tcPr>
          <w:p w14:paraId="608D3545" w14:textId="77777777" w:rsidR="00451BBE" w:rsidRDefault="00451BBE" w:rsidP="003414C0">
            <w:pPr>
              <w:jc w:val="center"/>
              <w:rPr>
                <w:rFonts w:cstheme="minorHAnsi"/>
                <w:b/>
                <w:bCs/>
                <w:sz w:val="20"/>
                <w:szCs w:val="20"/>
              </w:rPr>
            </w:pPr>
          </w:p>
          <w:p w14:paraId="40E9A260" w14:textId="772EFC2D" w:rsidR="00C0484C" w:rsidRPr="00451BBE" w:rsidRDefault="00C0484C" w:rsidP="003414C0">
            <w:pPr>
              <w:jc w:val="center"/>
              <w:rPr>
                <w:rFonts w:cstheme="minorHAnsi"/>
                <w:b/>
                <w:bCs/>
                <w:sz w:val="20"/>
                <w:szCs w:val="20"/>
              </w:rPr>
            </w:pPr>
            <w:r w:rsidRPr="00451BBE">
              <w:rPr>
                <w:rFonts w:cstheme="minorHAnsi"/>
                <w:b/>
                <w:bCs/>
                <w:sz w:val="20"/>
                <w:szCs w:val="20"/>
              </w:rPr>
              <w:t>4 -6 semanas</w:t>
            </w:r>
          </w:p>
        </w:tc>
        <w:tc>
          <w:tcPr>
            <w:tcW w:w="1257" w:type="dxa"/>
            <w:shd w:val="clear" w:color="auto" w:fill="BFBFBF" w:themeFill="background1" w:themeFillShade="BF"/>
          </w:tcPr>
          <w:p w14:paraId="7EE69580" w14:textId="77777777" w:rsidR="00451BBE" w:rsidRDefault="00451BBE" w:rsidP="003414C0">
            <w:pPr>
              <w:autoSpaceDE w:val="0"/>
              <w:autoSpaceDN w:val="0"/>
              <w:adjustRightInd w:val="0"/>
              <w:jc w:val="center"/>
              <w:rPr>
                <w:rFonts w:cstheme="minorHAnsi"/>
                <w:b/>
                <w:bCs/>
                <w:sz w:val="20"/>
                <w:szCs w:val="20"/>
              </w:rPr>
            </w:pPr>
          </w:p>
          <w:p w14:paraId="2B483E8A" w14:textId="244179B3" w:rsidR="00C0484C" w:rsidRPr="00451BBE" w:rsidRDefault="00C0484C" w:rsidP="003414C0">
            <w:pPr>
              <w:autoSpaceDE w:val="0"/>
              <w:autoSpaceDN w:val="0"/>
              <w:adjustRightInd w:val="0"/>
              <w:jc w:val="center"/>
              <w:rPr>
                <w:rFonts w:cstheme="minorHAnsi"/>
                <w:b/>
                <w:bCs/>
                <w:sz w:val="20"/>
                <w:szCs w:val="20"/>
              </w:rPr>
            </w:pPr>
            <w:r w:rsidRPr="00451BBE">
              <w:rPr>
                <w:rFonts w:cstheme="minorHAnsi"/>
                <w:b/>
                <w:bCs/>
                <w:sz w:val="20"/>
                <w:szCs w:val="20"/>
              </w:rPr>
              <w:t>12 semanas (</w:t>
            </w:r>
          </w:p>
          <w:p w14:paraId="5E0714EA" w14:textId="0D940B21" w:rsidR="00C0484C" w:rsidRPr="00451BBE" w:rsidRDefault="00C0484C" w:rsidP="003414C0">
            <w:pPr>
              <w:jc w:val="center"/>
              <w:rPr>
                <w:rFonts w:cstheme="minorHAnsi"/>
                <w:b/>
                <w:bCs/>
                <w:sz w:val="20"/>
                <w:szCs w:val="20"/>
              </w:rPr>
            </w:pPr>
            <w:r w:rsidRPr="00451BBE">
              <w:rPr>
                <w:rFonts w:cstheme="minorHAnsi"/>
                <w:b/>
                <w:bCs/>
                <w:sz w:val="20"/>
                <w:szCs w:val="20"/>
              </w:rPr>
              <w:t>3 meses)</w:t>
            </w:r>
          </w:p>
        </w:tc>
        <w:tc>
          <w:tcPr>
            <w:tcW w:w="1258" w:type="dxa"/>
            <w:shd w:val="clear" w:color="auto" w:fill="BFBFBF" w:themeFill="background1" w:themeFillShade="BF"/>
          </w:tcPr>
          <w:p w14:paraId="45AA4A4B" w14:textId="77777777" w:rsidR="00451BBE" w:rsidRDefault="00451BBE" w:rsidP="003414C0">
            <w:pPr>
              <w:autoSpaceDE w:val="0"/>
              <w:autoSpaceDN w:val="0"/>
              <w:adjustRightInd w:val="0"/>
              <w:jc w:val="center"/>
              <w:rPr>
                <w:rFonts w:cstheme="minorHAnsi"/>
                <w:b/>
                <w:bCs/>
                <w:sz w:val="20"/>
                <w:szCs w:val="20"/>
              </w:rPr>
            </w:pPr>
          </w:p>
          <w:p w14:paraId="22BFD228" w14:textId="6F0248A8" w:rsidR="00C0484C" w:rsidRPr="00451BBE" w:rsidRDefault="00C0484C" w:rsidP="003414C0">
            <w:pPr>
              <w:autoSpaceDE w:val="0"/>
              <w:autoSpaceDN w:val="0"/>
              <w:adjustRightInd w:val="0"/>
              <w:jc w:val="center"/>
              <w:rPr>
                <w:rFonts w:cstheme="minorHAnsi"/>
                <w:b/>
                <w:bCs/>
                <w:sz w:val="20"/>
                <w:szCs w:val="20"/>
              </w:rPr>
            </w:pPr>
            <w:r w:rsidRPr="00451BBE">
              <w:rPr>
                <w:rFonts w:cstheme="minorHAnsi"/>
                <w:b/>
                <w:bCs/>
                <w:sz w:val="20"/>
                <w:szCs w:val="20"/>
              </w:rPr>
              <w:t>24 semanas</w:t>
            </w:r>
          </w:p>
          <w:p w14:paraId="50BA3F41" w14:textId="33EE0F90" w:rsidR="00C0484C" w:rsidRPr="00451BBE" w:rsidRDefault="00C0484C" w:rsidP="003414C0">
            <w:pPr>
              <w:jc w:val="center"/>
              <w:rPr>
                <w:rFonts w:cstheme="minorHAnsi"/>
                <w:b/>
                <w:bCs/>
                <w:sz w:val="20"/>
                <w:szCs w:val="20"/>
              </w:rPr>
            </w:pPr>
            <w:r w:rsidRPr="00451BBE">
              <w:rPr>
                <w:rFonts w:cstheme="minorHAnsi"/>
                <w:b/>
                <w:bCs/>
                <w:sz w:val="20"/>
                <w:szCs w:val="20"/>
              </w:rPr>
              <w:t>(6 meses)</w:t>
            </w:r>
          </w:p>
        </w:tc>
      </w:tr>
      <w:tr w:rsidR="00451BBE" w14:paraId="5634A77C" w14:textId="77777777" w:rsidTr="00AF157B">
        <w:tc>
          <w:tcPr>
            <w:tcW w:w="1289" w:type="dxa"/>
          </w:tcPr>
          <w:p w14:paraId="6CC6E6DB" w14:textId="77777777" w:rsidR="003414C0" w:rsidRPr="003414C0" w:rsidRDefault="003414C0" w:rsidP="003414C0">
            <w:pPr>
              <w:rPr>
                <w:rFonts w:cstheme="minorHAnsi"/>
                <w:sz w:val="20"/>
                <w:szCs w:val="20"/>
              </w:rPr>
            </w:pPr>
            <w:r w:rsidRPr="003414C0">
              <w:rPr>
                <w:rFonts w:cstheme="minorHAnsi"/>
                <w:sz w:val="20"/>
                <w:szCs w:val="20"/>
              </w:rPr>
              <w:t>Prueba de VIH de</w:t>
            </w:r>
          </w:p>
          <w:p w14:paraId="25936396" w14:textId="77777777" w:rsidR="003414C0" w:rsidRPr="003414C0" w:rsidRDefault="003414C0" w:rsidP="003414C0">
            <w:pPr>
              <w:rPr>
                <w:rFonts w:cstheme="minorHAnsi"/>
                <w:sz w:val="20"/>
                <w:szCs w:val="20"/>
              </w:rPr>
            </w:pPr>
            <w:r w:rsidRPr="003414C0">
              <w:rPr>
                <w:rFonts w:cstheme="minorHAnsi"/>
                <w:sz w:val="20"/>
                <w:szCs w:val="20"/>
              </w:rPr>
              <w:t>Anticuerpos, rápida o</w:t>
            </w:r>
          </w:p>
          <w:p w14:paraId="33BD204F" w14:textId="22602711" w:rsidR="00C0484C" w:rsidRPr="003414C0" w:rsidRDefault="003414C0" w:rsidP="003414C0">
            <w:pPr>
              <w:rPr>
                <w:rFonts w:cstheme="minorHAnsi"/>
                <w:sz w:val="20"/>
                <w:szCs w:val="20"/>
              </w:rPr>
            </w:pPr>
            <w:r w:rsidRPr="003414C0">
              <w:rPr>
                <w:rFonts w:cstheme="minorHAnsi"/>
                <w:sz w:val="20"/>
                <w:szCs w:val="20"/>
              </w:rPr>
              <w:t>ELISA convencional</w:t>
            </w:r>
          </w:p>
        </w:tc>
        <w:tc>
          <w:tcPr>
            <w:tcW w:w="1255" w:type="dxa"/>
          </w:tcPr>
          <w:p w14:paraId="0235596D" w14:textId="77777777" w:rsidR="003414C0" w:rsidRDefault="003414C0" w:rsidP="003414C0">
            <w:pPr>
              <w:jc w:val="center"/>
              <w:rPr>
                <w:rFonts w:cstheme="minorHAnsi"/>
                <w:sz w:val="20"/>
                <w:szCs w:val="20"/>
              </w:rPr>
            </w:pPr>
          </w:p>
          <w:p w14:paraId="492DD4B7" w14:textId="77777777" w:rsidR="003414C0" w:rsidRDefault="003414C0" w:rsidP="003414C0">
            <w:pPr>
              <w:jc w:val="center"/>
              <w:rPr>
                <w:rFonts w:cstheme="minorHAnsi"/>
                <w:sz w:val="20"/>
                <w:szCs w:val="20"/>
              </w:rPr>
            </w:pPr>
          </w:p>
          <w:p w14:paraId="798D4A3E" w14:textId="53B45BAD" w:rsidR="00C0484C" w:rsidRPr="003414C0" w:rsidRDefault="003414C0" w:rsidP="003414C0">
            <w:pPr>
              <w:jc w:val="center"/>
              <w:rPr>
                <w:rFonts w:cstheme="minorHAnsi"/>
                <w:sz w:val="20"/>
                <w:szCs w:val="20"/>
              </w:rPr>
            </w:pPr>
            <w:r w:rsidRPr="003414C0">
              <w:rPr>
                <w:rFonts w:cstheme="minorHAnsi"/>
                <w:sz w:val="20"/>
                <w:szCs w:val="20"/>
              </w:rPr>
              <w:t>SI</w:t>
            </w:r>
          </w:p>
        </w:tc>
        <w:tc>
          <w:tcPr>
            <w:tcW w:w="1255" w:type="dxa"/>
          </w:tcPr>
          <w:p w14:paraId="3C661AAB" w14:textId="77777777" w:rsidR="00C0484C" w:rsidRPr="003414C0" w:rsidRDefault="00C0484C" w:rsidP="003414C0">
            <w:pPr>
              <w:jc w:val="center"/>
              <w:rPr>
                <w:rFonts w:cstheme="minorHAnsi"/>
                <w:sz w:val="20"/>
                <w:szCs w:val="20"/>
              </w:rPr>
            </w:pPr>
          </w:p>
        </w:tc>
        <w:tc>
          <w:tcPr>
            <w:tcW w:w="1257" w:type="dxa"/>
          </w:tcPr>
          <w:p w14:paraId="3419EC90" w14:textId="77777777" w:rsidR="00C0484C" w:rsidRPr="003414C0" w:rsidRDefault="00C0484C" w:rsidP="003414C0">
            <w:pPr>
              <w:jc w:val="center"/>
              <w:rPr>
                <w:rFonts w:cstheme="minorHAnsi"/>
                <w:sz w:val="20"/>
                <w:szCs w:val="20"/>
              </w:rPr>
            </w:pPr>
          </w:p>
        </w:tc>
        <w:tc>
          <w:tcPr>
            <w:tcW w:w="1257" w:type="dxa"/>
          </w:tcPr>
          <w:p w14:paraId="61950D01" w14:textId="77777777" w:rsidR="00C0484C" w:rsidRPr="003414C0" w:rsidRDefault="00C0484C" w:rsidP="003414C0">
            <w:pPr>
              <w:jc w:val="center"/>
              <w:rPr>
                <w:rFonts w:cstheme="minorHAnsi"/>
                <w:sz w:val="20"/>
                <w:szCs w:val="20"/>
              </w:rPr>
            </w:pPr>
          </w:p>
        </w:tc>
        <w:tc>
          <w:tcPr>
            <w:tcW w:w="1257" w:type="dxa"/>
          </w:tcPr>
          <w:p w14:paraId="69C35BC7" w14:textId="77777777" w:rsidR="003414C0" w:rsidRDefault="003414C0" w:rsidP="003414C0">
            <w:pPr>
              <w:jc w:val="center"/>
              <w:rPr>
                <w:rFonts w:cstheme="minorHAnsi"/>
                <w:sz w:val="20"/>
                <w:szCs w:val="20"/>
              </w:rPr>
            </w:pPr>
          </w:p>
          <w:p w14:paraId="7C15B1B4" w14:textId="77777777" w:rsidR="003414C0" w:rsidRDefault="003414C0" w:rsidP="003414C0">
            <w:pPr>
              <w:jc w:val="center"/>
              <w:rPr>
                <w:rFonts w:cstheme="minorHAnsi"/>
                <w:sz w:val="20"/>
                <w:szCs w:val="20"/>
              </w:rPr>
            </w:pPr>
          </w:p>
          <w:p w14:paraId="2E20BE26" w14:textId="06A4D1EA" w:rsidR="00C0484C" w:rsidRPr="003414C0" w:rsidRDefault="003414C0" w:rsidP="003414C0">
            <w:pPr>
              <w:jc w:val="center"/>
              <w:rPr>
                <w:rFonts w:cstheme="minorHAnsi"/>
                <w:sz w:val="20"/>
                <w:szCs w:val="20"/>
              </w:rPr>
            </w:pPr>
            <w:r w:rsidRPr="003414C0">
              <w:rPr>
                <w:rFonts w:cstheme="minorHAnsi"/>
                <w:sz w:val="20"/>
                <w:szCs w:val="20"/>
              </w:rPr>
              <w:t>SI</w:t>
            </w:r>
          </w:p>
        </w:tc>
        <w:tc>
          <w:tcPr>
            <w:tcW w:w="1258" w:type="dxa"/>
          </w:tcPr>
          <w:p w14:paraId="693CB0FA" w14:textId="77777777" w:rsidR="003414C0" w:rsidRDefault="003414C0" w:rsidP="003414C0">
            <w:pPr>
              <w:jc w:val="center"/>
              <w:rPr>
                <w:rFonts w:cstheme="minorHAnsi"/>
                <w:sz w:val="20"/>
                <w:szCs w:val="20"/>
              </w:rPr>
            </w:pPr>
          </w:p>
          <w:p w14:paraId="381C08EE" w14:textId="77777777" w:rsidR="003414C0" w:rsidRDefault="003414C0" w:rsidP="003414C0">
            <w:pPr>
              <w:jc w:val="center"/>
              <w:rPr>
                <w:rFonts w:cstheme="minorHAnsi"/>
                <w:sz w:val="20"/>
                <w:szCs w:val="20"/>
              </w:rPr>
            </w:pPr>
          </w:p>
          <w:p w14:paraId="392B8907" w14:textId="585E6380" w:rsidR="00C0484C" w:rsidRPr="003414C0" w:rsidRDefault="003414C0" w:rsidP="003414C0">
            <w:pPr>
              <w:jc w:val="center"/>
              <w:rPr>
                <w:rFonts w:cstheme="minorHAnsi"/>
                <w:sz w:val="20"/>
                <w:szCs w:val="20"/>
              </w:rPr>
            </w:pPr>
            <w:r w:rsidRPr="003414C0">
              <w:rPr>
                <w:rFonts w:cstheme="minorHAnsi"/>
                <w:sz w:val="20"/>
                <w:szCs w:val="20"/>
              </w:rPr>
              <w:t>SI</w:t>
            </w:r>
          </w:p>
        </w:tc>
      </w:tr>
      <w:tr w:rsidR="00451BBE" w14:paraId="15F88F93" w14:textId="77777777" w:rsidTr="00AF157B">
        <w:tc>
          <w:tcPr>
            <w:tcW w:w="1289" w:type="dxa"/>
          </w:tcPr>
          <w:p w14:paraId="3427ECF8" w14:textId="77777777" w:rsidR="003414C0" w:rsidRPr="003414C0" w:rsidRDefault="003414C0" w:rsidP="003414C0">
            <w:pPr>
              <w:rPr>
                <w:rFonts w:cstheme="minorHAnsi"/>
                <w:sz w:val="20"/>
                <w:szCs w:val="20"/>
              </w:rPr>
            </w:pPr>
            <w:r w:rsidRPr="003414C0">
              <w:rPr>
                <w:rFonts w:cstheme="minorHAnsi"/>
                <w:sz w:val="20"/>
                <w:szCs w:val="20"/>
              </w:rPr>
              <w:t>Analítica general: Cuadro</w:t>
            </w:r>
          </w:p>
          <w:p w14:paraId="7ABABDE8" w14:textId="77777777" w:rsidR="003414C0" w:rsidRPr="003414C0" w:rsidRDefault="003414C0" w:rsidP="003414C0">
            <w:pPr>
              <w:rPr>
                <w:rFonts w:cstheme="minorHAnsi"/>
                <w:sz w:val="20"/>
                <w:szCs w:val="20"/>
              </w:rPr>
            </w:pPr>
            <w:r w:rsidRPr="003414C0">
              <w:rPr>
                <w:rFonts w:cstheme="minorHAnsi"/>
                <w:sz w:val="20"/>
                <w:szCs w:val="20"/>
              </w:rPr>
              <w:t>hemático, función renal,</w:t>
            </w:r>
          </w:p>
          <w:p w14:paraId="3D0A2700" w14:textId="691468FC" w:rsidR="00C0484C" w:rsidRPr="003414C0" w:rsidRDefault="003414C0" w:rsidP="003414C0">
            <w:pPr>
              <w:rPr>
                <w:rFonts w:cstheme="minorHAnsi"/>
                <w:sz w:val="20"/>
                <w:szCs w:val="20"/>
              </w:rPr>
            </w:pPr>
            <w:r w:rsidRPr="003414C0">
              <w:rPr>
                <w:rFonts w:cstheme="minorHAnsi"/>
                <w:sz w:val="20"/>
                <w:szCs w:val="20"/>
              </w:rPr>
              <w:t>función hepática. Glicemia</w:t>
            </w:r>
          </w:p>
        </w:tc>
        <w:tc>
          <w:tcPr>
            <w:tcW w:w="1255" w:type="dxa"/>
          </w:tcPr>
          <w:p w14:paraId="6771352F" w14:textId="77777777" w:rsidR="003414C0" w:rsidRDefault="003414C0" w:rsidP="003414C0">
            <w:pPr>
              <w:jc w:val="center"/>
              <w:rPr>
                <w:rFonts w:cstheme="minorHAnsi"/>
                <w:sz w:val="20"/>
                <w:szCs w:val="20"/>
              </w:rPr>
            </w:pPr>
          </w:p>
          <w:p w14:paraId="41B774F5" w14:textId="77777777" w:rsidR="003414C0" w:rsidRDefault="003414C0" w:rsidP="003414C0">
            <w:pPr>
              <w:jc w:val="center"/>
              <w:rPr>
                <w:rFonts w:cstheme="minorHAnsi"/>
                <w:sz w:val="20"/>
                <w:szCs w:val="20"/>
              </w:rPr>
            </w:pPr>
          </w:p>
          <w:p w14:paraId="4986F481" w14:textId="7D124A40" w:rsidR="00C0484C" w:rsidRPr="003414C0" w:rsidRDefault="003414C0" w:rsidP="003414C0">
            <w:pPr>
              <w:jc w:val="center"/>
              <w:rPr>
                <w:rFonts w:cstheme="minorHAnsi"/>
                <w:sz w:val="20"/>
                <w:szCs w:val="20"/>
              </w:rPr>
            </w:pPr>
            <w:r w:rsidRPr="003414C0">
              <w:rPr>
                <w:rFonts w:cstheme="minorHAnsi"/>
                <w:sz w:val="20"/>
                <w:szCs w:val="20"/>
              </w:rPr>
              <w:t>SI</w:t>
            </w:r>
          </w:p>
        </w:tc>
        <w:tc>
          <w:tcPr>
            <w:tcW w:w="1255" w:type="dxa"/>
          </w:tcPr>
          <w:p w14:paraId="6C9B9B61" w14:textId="77777777" w:rsidR="003414C0" w:rsidRDefault="003414C0" w:rsidP="003414C0">
            <w:pPr>
              <w:jc w:val="center"/>
              <w:rPr>
                <w:rFonts w:cstheme="minorHAnsi"/>
                <w:sz w:val="20"/>
                <w:szCs w:val="20"/>
              </w:rPr>
            </w:pPr>
          </w:p>
          <w:p w14:paraId="5715F88A" w14:textId="77777777" w:rsidR="003414C0" w:rsidRDefault="003414C0" w:rsidP="003414C0">
            <w:pPr>
              <w:jc w:val="center"/>
              <w:rPr>
                <w:rFonts w:cstheme="minorHAnsi"/>
                <w:sz w:val="20"/>
                <w:szCs w:val="20"/>
              </w:rPr>
            </w:pPr>
          </w:p>
          <w:p w14:paraId="595ED9F8" w14:textId="28A4D898" w:rsidR="00C0484C" w:rsidRPr="003414C0" w:rsidRDefault="003414C0" w:rsidP="003414C0">
            <w:pPr>
              <w:jc w:val="center"/>
              <w:rPr>
                <w:rFonts w:cstheme="minorHAnsi"/>
                <w:sz w:val="20"/>
                <w:szCs w:val="20"/>
              </w:rPr>
            </w:pPr>
            <w:r w:rsidRPr="003414C0">
              <w:rPr>
                <w:rFonts w:cstheme="minorHAnsi"/>
                <w:sz w:val="20"/>
                <w:szCs w:val="20"/>
              </w:rPr>
              <w:t>SI</w:t>
            </w:r>
          </w:p>
        </w:tc>
        <w:tc>
          <w:tcPr>
            <w:tcW w:w="1257" w:type="dxa"/>
          </w:tcPr>
          <w:p w14:paraId="107FC81B" w14:textId="77777777" w:rsidR="003414C0" w:rsidRDefault="003414C0" w:rsidP="003414C0">
            <w:pPr>
              <w:jc w:val="center"/>
              <w:rPr>
                <w:rFonts w:cstheme="minorHAnsi"/>
                <w:sz w:val="20"/>
                <w:szCs w:val="20"/>
              </w:rPr>
            </w:pPr>
          </w:p>
          <w:p w14:paraId="7226BA4C" w14:textId="77777777" w:rsidR="003414C0" w:rsidRDefault="003414C0" w:rsidP="003414C0">
            <w:pPr>
              <w:jc w:val="center"/>
              <w:rPr>
                <w:rFonts w:cstheme="minorHAnsi"/>
                <w:sz w:val="20"/>
                <w:szCs w:val="20"/>
              </w:rPr>
            </w:pPr>
          </w:p>
          <w:p w14:paraId="26DCE885" w14:textId="112C78E6" w:rsidR="00C0484C" w:rsidRPr="003414C0" w:rsidRDefault="003414C0" w:rsidP="003414C0">
            <w:pPr>
              <w:jc w:val="center"/>
              <w:rPr>
                <w:rFonts w:cstheme="minorHAnsi"/>
                <w:sz w:val="20"/>
                <w:szCs w:val="20"/>
              </w:rPr>
            </w:pPr>
            <w:r>
              <w:rPr>
                <w:rFonts w:cstheme="minorHAnsi"/>
                <w:sz w:val="20"/>
                <w:szCs w:val="20"/>
              </w:rPr>
              <w:t>SI</w:t>
            </w:r>
          </w:p>
        </w:tc>
        <w:tc>
          <w:tcPr>
            <w:tcW w:w="1257" w:type="dxa"/>
          </w:tcPr>
          <w:p w14:paraId="102D65EF" w14:textId="77777777" w:rsidR="003414C0" w:rsidRDefault="003414C0" w:rsidP="003414C0">
            <w:pPr>
              <w:jc w:val="center"/>
              <w:rPr>
                <w:rFonts w:cstheme="minorHAnsi"/>
                <w:sz w:val="20"/>
                <w:szCs w:val="20"/>
              </w:rPr>
            </w:pPr>
          </w:p>
          <w:p w14:paraId="4262F2B0" w14:textId="77777777" w:rsidR="003414C0" w:rsidRDefault="003414C0" w:rsidP="003414C0">
            <w:pPr>
              <w:jc w:val="center"/>
              <w:rPr>
                <w:rFonts w:cstheme="minorHAnsi"/>
                <w:sz w:val="20"/>
                <w:szCs w:val="20"/>
              </w:rPr>
            </w:pPr>
          </w:p>
          <w:p w14:paraId="03D0FF9A" w14:textId="38AC3B12" w:rsidR="00C0484C" w:rsidRPr="003414C0" w:rsidRDefault="003414C0" w:rsidP="003414C0">
            <w:pPr>
              <w:jc w:val="center"/>
              <w:rPr>
                <w:rFonts w:cstheme="minorHAnsi"/>
                <w:sz w:val="20"/>
                <w:szCs w:val="20"/>
              </w:rPr>
            </w:pPr>
            <w:r>
              <w:rPr>
                <w:rFonts w:cstheme="minorHAnsi"/>
                <w:sz w:val="20"/>
                <w:szCs w:val="20"/>
              </w:rPr>
              <w:t>SI</w:t>
            </w:r>
          </w:p>
        </w:tc>
        <w:tc>
          <w:tcPr>
            <w:tcW w:w="1257" w:type="dxa"/>
          </w:tcPr>
          <w:p w14:paraId="03EA5CCA" w14:textId="77777777" w:rsidR="00C0484C" w:rsidRPr="003414C0" w:rsidRDefault="00C0484C" w:rsidP="003414C0">
            <w:pPr>
              <w:jc w:val="center"/>
              <w:rPr>
                <w:rFonts w:cstheme="minorHAnsi"/>
                <w:sz w:val="20"/>
                <w:szCs w:val="20"/>
              </w:rPr>
            </w:pPr>
          </w:p>
        </w:tc>
        <w:tc>
          <w:tcPr>
            <w:tcW w:w="1258" w:type="dxa"/>
          </w:tcPr>
          <w:p w14:paraId="50F65A71" w14:textId="77777777" w:rsidR="00C0484C" w:rsidRPr="003414C0" w:rsidRDefault="00C0484C" w:rsidP="003414C0">
            <w:pPr>
              <w:jc w:val="center"/>
              <w:rPr>
                <w:rFonts w:cstheme="minorHAnsi"/>
                <w:sz w:val="20"/>
                <w:szCs w:val="20"/>
              </w:rPr>
            </w:pPr>
          </w:p>
        </w:tc>
      </w:tr>
      <w:tr w:rsidR="003414C0" w14:paraId="48D270FF" w14:textId="77777777" w:rsidTr="00AF157B">
        <w:tc>
          <w:tcPr>
            <w:tcW w:w="1289" w:type="dxa"/>
          </w:tcPr>
          <w:p w14:paraId="7BA8AACD" w14:textId="613DAB7E" w:rsidR="003414C0" w:rsidRPr="003414C0" w:rsidRDefault="003414C0" w:rsidP="00C0484C">
            <w:pPr>
              <w:rPr>
                <w:rFonts w:cstheme="minorHAnsi"/>
                <w:sz w:val="20"/>
                <w:szCs w:val="20"/>
              </w:rPr>
            </w:pPr>
            <w:r w:rsidRPr="003414C0">
              <w:rPr>
                <w:rFonts w:cstheme="minorHAnsi"/>
                <w:sz w:val="20"/>
                <w:szCs w:val="20"/>
              </w:rPr>
              <w:t>Carga viral para VIH</w:t>
            </w:r>
          </w:p>
        </w:tc>
        <w:tc>
          <w:tcPr>
            <w:tcW w:w="1255" w:type="dxa"/>
          </w:tcPr>
          <w:p w14:paraId="10AD87B7" w14:textId="77777777" w:rsidR="003414C0" w:rsidRPr="003414C0" w:rsidRDefault="003414C0" w:rsidP="003414C0">
            <w:pPr>
              <w:jc w:val="center"/>
              <w:rPr>
                <w:rFonts w:cstheme="minorHAnsi"/>
                <w:sz w:val="20"/>
                <w:szCs w:val="20"/>
              </w:rPr>
            </w:pPr>
          </w:p>
        </w:tc>
        <w:tc>
          <w:tcPr>
            <w:tcW w:w="3769" w:type="dxa"/>
            <w:gridSpan w:val="3"/>
          </w:tcPr>
          <w:p w14:paraId="2815F7C3" w14:textId="77777777" w:rsidR="003414C0" w:rsidRPr="003414C0" w:rsidRDefault="003414C0" w:rsidP="003414C0">
            <w:pPr>
              <w:jc w:val="center"/>
              <w:rPr>
                <w:rFonts w:cstheme="minorHAnsi"/>
                <w:sz w:val="20"/>
                <w:szCs w:val="20"/>
              </w:rPr>
            </w:pPr>
            <w:r w:rsidRPr="003414C0">
              <w:rPr>
                <w:rFonts w:cstheme="minorHAnsi"/>
                <w:sz w:val="20"/>
                <w:szCs w:val="20"/>
              </w:rPr>
              <w:t>Ante síntomas relacionados con</w:t>
            </w:r>
          </w:p>
          <w:p w14:paraId="1623B627" w14:textId="6DCEBEC4" w:rsidR="003414C0" w:rsidRPr="003414C0" w:rsidRDefault="003414C0" w:rsidP="003414C0">
            <w:pPr>
              <w:jc w:val="center"/>
              <w:rPr>
                <w:rFonts w:cstheme="minorHAnsi"/>
                <w:sz w:val="20"/>
                <w:szCs w:val="20"/>
              </w:rPr>
            </w:pPr>
            <w:r w:rsidRPr="003414C0">
              <w:rPr>
                <w:rFonts w:cstheme="minorHAnsi"/>
                <w:sz w:val="20"/>
                <w:szCs w:val="20"/>
              </w:rPr>
              <w:t>Síndrome retroviral agudo</w:t>
            </w:r>
          </w:p>
        </w:tc>
        <w:tc>
          <w:tcPr>
            <w:tcW w:w="1257" w:type="dxa"/>
          </w:tcPr>
          <w:p w14:paraId="730FC357" w14:textId="77777777" w:rsidR="003414C0" w:rsidRPr="003414C0" w:rsidRDefault="003414C0" w:rsidP="003414C0">
            <w:pPr>
              <w:jc w:val="center"/>
              <w:rPr>
                <w:rFonts w:cstheme="minorHAnsi"/>
                <w:sz w:val="20"/>
                <w:szCs w:val="20"/>
              </w:rPr>
            </w:pPr>
          </w:p>
        </w:tc>
        <w:tc>
          <w:tcPr>
            <w:tcW w:w="1258" w:type="dxa"/>
          </w:tcPr>
          <w:p w14:paraId="3EC5E441" w14:textId="77777777" w:rsidR="003414C0" w:rsidRPr="003414C0" w:rsidRDefault="003414C0" w:rsidP="003414C0">
            <w:pPr>
              <w:jc w:val="center"/>
              <w:rPr>
                <w:rFonts w:cstheme="minorHAnsi"/>
                <w:sz w:val="20"/>
                <w:szCs w:val="20"/>
              </w:rPr>
            </w:pPr>
          </w:p>
        </w:tc>
      </w:tr>
      <w:tr w:rsidR="00451BBE" w14:paraId="3738A56B" w14:textId="77777777" w:rsidTr="00AF157B">
        <w:tc>
          <w:tcPr>
            <w:tcW w:w="1289" w:type="dxa"/>
          </w:tcPr>
          <w:p w14:paraId="08E1F967" w14:textId="77777777" w:rsidR="003414C0" w:rsidRPr="003414C0" w:rsidRDefault="003414C0" w:rsidP="003414C0">
            <w:pPr>
              <w:rPr>
                <w:rFonts w:cstheme="minorHAnsi"/>
                <w:sz w:val="20"/>
                <w:szCs w:val="20"/>
              </w:rPr>
            </w:pPr>
            <w:r w:rsidRPr="003414C0">
              <w:rPr>
                <w:rFonts w:cstheme="minorHAnsi"/>
                <w:sz w:val="20"/>
                <w:szCs w:val="20"/>
              </w:rPr>
              <w:t>Pruebas para hepatitis B</w:t>
            </w:r>
          </w:p>
          <w:p w14:paraId="4C45C93E" w14:textId="60298AB4" w:rsidR="00C0484C" w:rsidRPr="003414C0" w:rsidRDefault="003414C0" w:rsidP="003414C0">
            <w:pPr>
              <w:rPr>
                <w:rFonts w:cstheme="minorHAnsi"/>
                <w:sz w:val="20"/>
                <w:szCs w:val="20"/>
              </w:rPr>
            </w:pPr>
            <w:r w:rsidRPr="003414C0">
              <w:rPr>
                <w:rFonts w:cstheme="minorHAnsi"/>
                <w:sz w:val="20"/>
                <w:szCs w:val="20"/>
              </w:rPr>
              <w:t>(HBsAg – anti-</w:t>
            </w:r>
            <w:proofErr w:type="spellStart"/>
            <w:r w:rsidRPr="003414C0">
              <w:rPr>
                <w:rFonts w:cstheme="minorHAnsi"/>
                <w:sz w:val="20"/>
                <w:szCs w:val="20"/>
              </w:rPr>
              <w:t>HBc</w:t>
            </w:r>
            <w:proofErr w:type="spellEnd"/>
            <w:r w:rsidRPr="003414C0">
              <w:rPr>
                <w:rFonts w:cstheme="minorHAnsi"/>
                <w:sz w:val="20"/>
                <w:szCs w:val="20"/>
              </w:rPr>
              <w:t>)</w:t>
            </w:r>
          </w:p>
        </w:tc>
        <w:tc>
          <w:tcPr>
            <w:tcW w:w="1255" w:type="dxa"/>
          </w:tcPr>
          <w:p w14:paraId="03998DB9" w14:textId="77777777" w:rsidR="003414C0" w:rsidRDefault="003414C0" w:rsidP="003414C0">
            <w:pPr>
              <w:jc w:val="center"/>
              <w:rPr>
                <w:rFonts w:cstheme="minorHAnsi"/>
                <w:sz w:val="20"/>
                <w:szCs w:val="20"/>
              </w:rPr>
            </w:pPr>
          </w:p>
          <w:p w14:paraId="2C462ADD" w14:textId="690518E9" w:rsidR="00C0484C" w:rsidRPr="003414C0" w:rsidRDefault="003414C0" w:rsidP="003414C0">
            <w:pPr>
              <w:jc w:val="center"/>
              <w:rPr>
                <w:rFonts w:cstheme="minorHAnsi"/>
                <w:sz w:val="20"/>
                <w:szCs w:val="20"/>
              </w:rPr>
            </w:pPr>
            <w:r>
              <w:rPr>
                <w:rFonts w:cstheme="minorHAnsi"/>
                <w:sz w:val="20"/>
                <w:szCs w:val="20"/>
              </w:rPr>
              <w:t>SI</w:t>
            </w:r>
          </w:p>
        </w:tc>
        <w:tc>
          <w:tcPr>
            <w:tcW w:w="1255" w:type="dxa"/>
          </w:tcPr>
          <w:p w14:paraId="1AE723E0" w14:textId="77777777" w:rsidR="00C0484C" w:rsidRPr="003414C0" w:rsidRDefault="00C0484C" w:rsidP="00C0484C">
            <w:pPr>
              <w:rPr>
                <w:rFonts w:cstheme="minorHAnsi"/>
                <w:sz w:val="20"/>
                <w:szCs w:val="20"/>
              </w:rPr>
            </w:pPr>
          </w:p>
        </w:tc>
        <w:tc>
          <w:tcPr>
            <w:tcW w:w="1257" w:type="dxa"/>
          </w:tcPr>
          <w:p w14:paraId="3057F5B5" w14:textId="77777777" w:rsidR="00C0484C" w:rsidRPr="003414C0" w:rsidRDefault="00C0484C" w:rsidP="00C0484C">
            <w:pPr>
              <w:rPr>
                <w:rFonts w:cstheme="minorHAnsi"/>
                <w:sz w:val="20"/>
                <w:szCs w:val="20"/>
              </w:rPr>
            </w:pPr>
          </w:p>
        </w:tc>
        <w:tc>
          <w:tcPr>
            <w:tcW w:w="1257" w:type="dxa"/>
          </w:tcPr>
          <w:p w14:paraId="3979F679" w14:textId="77777777" w:rsidR="00C0484C" w:rsidRPr="003414C0" w:rsidRDefault="00C0484C" w:rsidP="00C0484C">
            <w:pPr>
              <w:rPr>
                <w:rFonts w:cstheme="minorHAnsi"/>
                <w:sz w:val="20"/>
                <w:szCs w:val="20"/>
              </w:rPr>
            </w:pPr>
          </w:p>
        </w:tc>
        <w:tc>
          <w:tcPr>
            <w:tcW w:w="1257" w:type="dxa"/>
          </w:tcPr>
          <w:p w14:paraId="16F15202" w14:textId="77777777" w:rsidR="00C0484C" w:rsidRPr="003414C0" w:rsidRDefault="00C0484C" w:rsidP="00C0484C">
            <w:pPr>
              <w:rPr>
                <w:rFonts w:cstheme="minorHAnsi"/>
                <w:sz w:val="20"/>
                <w:szCs w:val="20"/>
              </w:rPr>
            </w:pPr>
          </w:p>
        </w:tc>
        <w:tc>
          <w:tcPr>
            <w:tcW w:w="1258" w:type="dxa"/>
          </w:tcPr>
          <w:p w14:paraId="5A05F916" w14:textId="77777777" w:rsidR="003414C0" w:rsidRDefault="003414C0" w:rsidP="003414C0">
            <w:pPr>
              <w:jc w:val="center"/>
              <w:rPr>
                <w:rFonts w:cstheme="minorHAnsi"/>
                <w:sz w:val="20"/>
                <w:szCs w:val="20"/>
              </w:rPr>
            </w:pPr>
          </w:p>
          <w:p w14:paraId="42E3C63B" w14:textId="34DE94FA" w:rsidR="00C0484C" w:rsidRPr="003414C0" w:rsidRDefault="003414C0" w:rsidP="003414C0">
            <w:pPr>
              <w:jc w:val="center"/>
              <w:rPr>
                <w:rFonts w:cstheme="minorHAnsi"/>
                <w:sz w:val="20"/>
                <w:szCs w:val="20"/>
              </w:rPr>
            </w:pPr>
            <w:r>
              <w:rPr>
                <w:rFonts w:cstheme="minorHAnsi"/>
                <w:sz w:val="20"/>
                <w:szCs w:val="20"/>
              </w:rPr>
              <w:t>SI</w:t>
            </w:r>
          </w:p>
        </w:tc>
      </w:tr>
      <w:tr w:rsidR="00451BBE" w14:paraId="16219ADF" w14:textId="77777777" w:rsidTr="00AF157B">
        <w:tc>
          <w:tcPr>
            <w:tcW w:w="1289" w:type="dxa"/>
          </w:tcPr>
          <w:p w14:paraId="132EC780" w14:textId="26D6B821" w:rsidR="00C0484C" w:rsidRPr="003414C0" w:rsidRDefault="003414C0" w:rsidP="00C0484C">
            <w:pPr>
              <w:rPr>
                <w:rFonts w:cstheme="minorHAnsi"/>
                <w:sz w:val="20"/>
                <w:szCs w:val="20"/>
              </w:rPr>
            </w:pPr>
            <w:r w:rsidRPr="003414C0">
              <w:rPr>
                <w:rFonts w:cstheme="minorHAnsi"/>
                <w:sz w:val="20"/>
                <w:szCs w:val="20"/>
              </w:rPr>
              <w:t>Prueba para VHC</w:t>
            </w:r>
          </w:p>
        </w:tc>
        <w:tc>
          <w:tcPr>
            <w:tcW w:w="1255" w:type="dxa"/>
          </w:tcPr>
          <w:p w14:paraId="04A833E0" w14:textId="3DC26A09" w:rsidR="00C0484C" w:rsidRPr="003414C0" w:rsidRDefault="003414C0" w:rsidP="003414C0">
            <w:pPr>
              <w:jc w:val="center"/>
              <w:rPr>
                <w:rFonts w:cstheme="minorHAnsi"/>
                <w:sz w:val="20"/>
                <w:szCs w:val="20"/>
              </w:rPr>
            </w:pPr>
            <w:r>
              <w:rPr>
                <w:rFonts w:cstheme="minorHAnsi"/>
                <w:sz w:val="20"/>
                <w:szCs w:val="20"/>
              </w:rPr>
              <w:t>SI</w:t>
            </w:r>
          </w:p>
        </w:tc>
        <w:tc>
          <w:tcPr>
            <w:tcW w:w="1255" w:type="dxa"/>
          </w:tcPr>
          <w:p w14:paraId="43DAB898" w14:textId="77777777" w:rsidR="00C0484C" w:rsidRPr="003414C0" w:rsidRDefault="00C0484C" w:rsidP="00C0484C">
            <w:pPr>
              <w:rPr>
                <w:rFonts w:cstheme="minorHAnsi"/>
                <w:sz w:val="20"/>
                <w:szCs w:val="20"/>
              </w:rPr>
            </w:pPr>
          </w:p>
        </w:tc>
        <w:tc>
          <w:tcPr>
            <w:tcW w:w="1257" w:type="dxa"/>
          </w:tcPr>
          <w:p w14:paraId="38E87D1B" w14:textId="77777777" w:rsidR="00C0484C" w:rsidRPr="003414C0" w:rsidRDefault="00C0484C" w:rsidP="00C0484C">
            <w:pPr>
              <w:rPr>
                <w:rFonts w:cstheme="minorHAnsi"/>
                <w:sz w:val="20"/>
                <w:szCs w:val="20"/>
              </w:rPr>
            </w:pPr>
          </w:p>
        </w:tc>
        <w:tc>
          <w:tcPr>
            <w:tcW w:w="1257" w:type="dxa"/>
          </w:tcPr>
          <w:p w14:paraId="4A143F23" w14:textId="77777777" w:rsidR="00C0484C" w:rsidRPr="003414C0" w:rsidRDefault="00C0484C" w:rsidP="00C0484C">
            <w:pPr>
              <w:rPr>
                <w:rFonts w:cstheme="minorHAnsi"/>
                <w:sz w:val="20"/>
                <w:szCs w:val="20"/>
              </w:rPr>
            </w:pPr>
          </w:p>
        </w:tc>
        <w:tc>
          <w:tcPr>
            <w:tcW w:w="1257" w:type="dxa"/>
          </w:tcPr>
          <w:p w14:paraId="05C702C0" w14:textId="255CB43C" w:rsidR="00C0484C" w:rsidRPr="003414C0" w:rsidRDefault="003414C0" w:rsidP="003414C0">
            <w:pPr>
              <w:jc w:val="center"/>
              <w:rPr>
                <w:rFonts w:cstheme="minorHAnsi"/>
                <w:sz w:val="20"/>
                <w:szCs w:val="20"/>
              </w:rPr>
            </w:pPr>
            <w:r>
              <w:rPr>
                <w:rFonts w:cstheme="minorHAnsi"/>
                <w:sz w:val="20"/>
                <w:szCs w:val="20"/>
              </w:rPr>
              <w:t>SI</w:t>
            </w:r>
          </w:p>
        </w:tc>
        <w:tc>
          <w:tcPr>
            <w:tcW w:w="1258" w:type="dxa"/>
          </w:tcPr>
          <w:p w14:paraId="3EC13BD8" w14:textId="415B5D05" w:rsidR="00C0484C" w:rsidRPr="003414C0" w:rsidRDefault="003414C0" w:rsidP="003414C0">
            <w:pPr>
              <w:jc w:val="center"/>
              <w:rPr>
                <w:rFonts w:cstheme="minorHAnsi"/>
                <w:sz w:val="20"/>
                <w:szCs w:val="20"/>
              </w:rPr>
            </w:pPr>
            <w:r>
              <w:rPr>
                <w:rFonts w:cstheme="minorHAnsi"/>
                <w:sz w:val="20"/>
                <w:szCs w:val="20"/>
              </w:rPr>
              <w:t>SI</w:t>
            </w:r>
          </w:p>
        </w:tc>
      </w:tr>
      <w:tr w:rsidR="003414C0" w14:paraId="3ADB5168" w14:textId="77777777" w:rsidTr="00AF157B">
        <w:tc>
          <w:tcPr>
            <w:tcW w:w="1289" w:type="dxa"/>
          </w:tcPr>
          <w:p w14:paraId="223F28D7" w14:textId="3E687E9A" w:rsidR="003414C0" w:rsidRPr="003414C0" w:rsidRDefault="003414C0" w:rsidP="00C0484C">
            <w:pPr>
              <w:rPr>
                <w:rFonts w:cstheme="minorHAnsi"/>
                <w:sz w:val="20"/>
                <w:szCs w:val="20"/>
              </w:rPr>
            </w:pPr>
            <w:r w:rsidRPr="003414C0">
              <w:rPr>
                <w:rFonts w:cstheme="minorHAnsi"/>
                <w:sz w:val="20"/>
                <w:szCs w:val="20"/>
              </w:rPr>
              <w:t>Carga viral para VHC</w:t>
            </w:r>
          </w:p>
        </w:tc>
        <w:tc>
          <w:tcPr>
            <w:tcW w:w="1255" w:type="dxa"/>
          </w:tcPr>
          <w:p w14:paraId="6C0E930C" w14:textId="77777777" w:rsidR="003414C0" w:rsidRPr="003414C0" w:rsidRDefault="003414C0" w:rsidP="003414C0">
            <w:pPr>
              <w:jc w:val="center"/>
              <w:rPr>
                <w:rFonts w:cstheme="minorHAnsi"/>
                <w:sz w:val="20"/>
                <w:szCs w:val="20"/>
              </w:rPr>
            </w:pPr>
          </w:p>
        </w:tc>
        <w:tc>
          <w:tcPr>
            <w:tcW w:w="6284" w:type="dxa"/>
            <w:gridSpan w:val="5"/>
          </w:tcPr>
          <w:p w14:paraId="3642C70F" w14:textId="2A793902" w:rsidR="003414C0" w:rsidRPr="003414C0" w:rsidRDefault="003414C0" w:rsidP="003414C0">
            <w:pPr>
              <w:jc w:val="center"/>
              <w:rPr>
                <w:rFonts w:cstheme="minorHAnsi"/>
                <w:sz w:val="20"/>
                <w:szCs w:val="20"/>
              </w:rPr>
            </w:pPr>
            <w:r w:rsidRPr="003414C0">
              <w:rPr>
                <w:rFonts w:cstheme="minorHAnsi"/>
                <w:sz w:val="20"/>
                <w:szCs w:val="20"/>
              </w:rPr>
              <w:t>SI. Ante síntomas de Hepatitis viral aguda.</w:t>
            </w:r>
          </w:p>
        </w:tc>
      </w:tr>
      <w:tr w:rsidR="009C3991" w14:paraId="71A3389B" w14:textId="77777777" w:rsidTr="00AF157B">
        <w:tc>
          <w:tcPr>
            <w:tcW w:w="1289" w:type="dxa"/>
          </w:tcPr>
          <w:p w14:paraId="645D318B" w14:textId="3E1B7D7E" w:rsidR="009C3991" w:rsidRPr="003414C0" w:rsidRDefault="009C3991" w:rsidP="009C3991">
            <w:pPr>
              <w:rPr>
                <w:rFonts w:cstheme="minorHAnsi"/>
                <w:sz w:val="20"/>
                <w:szCs w:val="20"/>
              </w:rPr>
            </w:pPr>
            <w:r w:rsidRPr="009C3991">
              <w:rPr>
                <w:rFonts w:cstheme="minorHAnsi"/>
                <w:sz w:val="20"/>
                <w:szCs w:val="20"/>
              </w:rPr>
              <w:t>Diagnóstico de ITS</w:t>
            </w:r>
            <w:r>
              <w:rPr>
                <w:rFonts w:cstheme="minorHAnsi"/>
                <w:sz w:val="20"/>
                <w:szCs w:val="20"/>
              </w:rPr>
              <w:t xml:space="preserve"> </w:t>
            </w:r>
            <w:r w:rsidRPr="009C3991">
              <w:rPr>
                <w:rFonts w:cstheme="minorHAnsi"/>
                <w:sz w:val="20"/>
                <w:szCs w:val="20"/>
              </w:rPr>
              <w:t>(sindrómico</w:t>
            </w:r>
            <w:r>
              <w:rPr>
                <w:rFonts w:cstheme="minorHAnsi"/>
                <w:sz w:val="20"/>
                <w:szCs w:val="20"/>
              </w:rPr>
              <w:t xml:space="preserve"> </w:t>
            </w:r>
            <w:r w:rsidRPr="009C3991">
              <w:rPr>
                <w:rFonts w:cstheme="minorHAnsi"/>
                <w:sz w:val="20"/>
                <w:szCs w:val="20"/>
              </w:rPr>
              <w:t>o etiológico)</w:t>
            </w:r>
          </w:p>
        </w:tc>
        <w:tc>
          <w:tcPr>
            <w:tcW w:w="1255" w:type="dxa"/>
          </w:tcPr>
          <w:p w14:paraId="66428DB1" w14:textId="77777777" w:rsidR="009C3991" w:rsidRPr="003414C0" w:rsidRDefault="009C3991" w:rsidP="003414C0">
            <w:pPr>
              <w:jc w:val="center"/>
              <w:rPr>
                <w:rFonts w:cstheme="minorHAnsi"/>
                <w:sz w:val="20"/>
                <w:szCs w:val="20"/>
              </w:rPr>
            </w:pPr>
          </w:p>
        </w:tc>
        <w:tc>
          <w:tcPr>
            <w:tcW w:w="1256" w:type="dxa"/>
          </w:tcPr>
          <w:p w14:paraId="0035BF7B" w14:textId="77777777" w:rsidR="009C3991" w:rsidRPr="003414C0" w:rsidRDefault="009C3991" w:rsidP="003414C0">
            <w:pPr>
              <w:jc w:val="center"/>
              <w:rPr>
                <w:rFonts w:cstheme="minorHAnsi"/>
                <w:sz w:val="20"/>
                <w:szCs w:val="20"/>
              </w:rPr>
            </w:pPr>
          </w:p>
        </w:tc>
        <w:tc>
          <w:tcPr>
            <w:tcW w:w="1257" w:type="dxa"/>
          </w:tcPr>
          <w:p w14:paraId="28FF811D" w14:textId="77777777" w:rsidR="009C3991" w:rsidRPr="003414C0" w:rsidRDefault="009C3991" w:rsidP="003414C0">
            <w:pPr>
              <w:jc w:val="center"/>
              <w:rPr>
                <w:rFonts w:cstheme="minorHAnsi"/>
                <w:sz w:val="20"/>
                <w:szCs w:val="20"/>
              </w:rPr>
            </w:pPr>
          </w:p>
        </w:tc>
        <w:tc>
          <w:tcPr>
            <w:tcW w:w="1257" w:type="dxa"/>
          </w:tcPr>
          <w:p w14:paraId="6D090E8D" w14:textId="77777777" w:rsidR="009C3991" w:rsidRPr="003414C0" w:rsidRDefault="009C3991" w:rsidP="003414C0">
            <w:pPr>
              <w:jc w:val="center"/>
              <w:rPr>
                <w:rFonts w:cstheme="minorHAnsi"/>
                <w:sz w:val="20"/>
                <w:szCs w:val="20"/>
              </w:rPr>
            </w:pPr>
          </w:p>
        </w:tc>
        <w:tc>
          <w:tcPr>
            <w:tcW w:w="1257" w:type="dxa"/>
          </w:tcPr>
          <w:p w14:paraId="0F80175C" w14:textId="0BA03980" w:rsidR="009C3991" w:rsidRPr="003414C0" w:rsidRDefault="009C3991" w:rsidP="009C3991">
            <w:pPr>
              <w:rPr>
                <w:rFonts w:cstheme="minorHAnsi"/>
                <w:sz w:val="20"/>
                <w:szCs w:val="20"/>
              </w:rPr>
            </w:pPr>
            <w:r w:rsidRPr="009C3991">
              <w:rPr>
                <w:rFonts w:cstheme="minorHAnsi"/>
                <w:sz w:val="20"/>
                <w:szCs w:val="20"/>
              </w:rPr>
              <w:t>SI. Para Sífilis</w:t>
            </w:r>
            <w:r>
              <w:rPr>
                <w:rFonts w:cstheme="minorHAnsi"/>
                <w:sz w:val="20"/>
                <w:szCs w:val="20"/>
              </w:rPr>
              <w:t xml:space="preserve"> </w:t>
            </w:r>
            <w:r w:rsidRPr="009C3991">
              <w:rPr>
                <w:rFonts w:cstheme="minorHAnsi"/>
                <w:sz w:val="20"/>
                <w:szCs w:val="20"/>
              </w:rPr>
              <w:t>con</w:t>
            </w:r>
            <w:r>
              <w:rPr>
                <w:rFonts w:cstheme="minorHAnsi"/>
                <w:sz w:val="20"/>
                <w:szCs w:val="20"/>
              </w:rPr>
              <w:t xml:space="preserve"> </w:t>
            </w:r>
            <w:r w:rsidRPr="009C3991">
              <w:rPr>
                <w:rFonts w:cstheme="minorHAnsi"/>
                <w:sz w:val="20"/>
                <w:szCs w:val="20"/>
              </w:rPr>
              <w:t>prueba rápida</w:t>
            </w:r>
            <w:r>
              <w:rPr>
                <w:rFonts w:cstheme="minorHAnsi"/>
                <w:sz w:val="20"/>
                <w:szCs w:val="20"/>
              </w:rPr>
              <w:t xml:space="preserve"> </w:t>
            </w:r>
            <w:r w:rsidRPr="009C3991">
              <w:rPr>
                <w:rFonts w:cstheme="minorHAnsi"/>
                <w:sz w:val="20"/>
                <w:szCs w:val="20"/>
              </w:rPr>
              <w:t>(Treponémica)</w:t>
            </w:r>
          </w:p>
        </w:tc>
        <w:tc>
          <w:tcPr>
            <w:tcW w:w="1257" w:type="dxa"/>
          </w:tcPr>
          <w:p w14:paraId="2242A43B" w14:textId="59A73F57" w:rsidR="009C3991" w:rsidRPr="003414C0" w:rsidRDefault="009C3991" w:rsidP="003414C0">
            <w:pPr>
              <w:jc w:val="center"/>
              <w:rPr>
                <w:rFonts w:cstheme="minorHAnsi"/>
                <w:sz w:val="20"/>
                <w:szCs w:val="20"/>
              </w:rPr>
            </w:pPr>
          </w:p>
        </w:tc>
      </w:tr>
      <w:tr w:rsidR="009C3991" w14:paraId="22C29C8E" w14:textId="77777777" w:rsidTr="00AF157B">
        <w:tc>
          <w:tcPr>
            <w:tcW w:w="1289" w:type="dxa"/>
          </w:tcPr>
          <w:p w14:paraId="01574361" w14:textId="00643DF1" w:rsidR="009C3991" w:rsidRPr="003414C0" w:rsidRDefault="009C3991" w:rsidP="00C0484C">
            <w:pPr>
              <w:rPr>
                <w:rFonts w:cstheme="minorHAnsi"/>
                <w:sz w:val="20"/>
                <w:szCs w:val="20"/>
              </w:rPr>
            </w:pPr>
            <w:r w:rsidRPr="009C3991">
              <w:rPr>
                <w:rFonts w:cstheme="minorHAnsi"/>
                <w:sz w:val="20"/>
                <w:szCs w:val="20"/>
              </w:rPr>
              <w:t>Prueba de embarazo</w:t>
            </w:r>
          </w:p>
        </w:tc>
        <w:tc>
          <w:tcPr>
            <w:tcW w:w="1255" w:type="dxa"/>
          </w:tcPr>
          <w:p w14:paraId="0BC0A3D4" w14:textId="0FCB965B" w:rsidR="009C3991" w:rsidRPr="003414C0" w:rsidRDefault="009C3991" w:rsidP="003414C0">
            <w:pPr>
              <w:jc w:val="center"/>
              <w:rPr>
                <w:rFonts w:cstheme="minorHAnsi"/>
                <w:sz w:val="20"/>
                <w:szCs w:val="20"/>
              </w:rPr>
            </w:pPr>
            <w:r>
              <w:rPr>
                <w:rFonts w:cstheme="minorHAnsi"/>
                <w:sz w:val="20"/>
                <w:szCs w:val="20"/>
              </w:rPr>
              <w:t>SI</w:t>
            </w:r>
          </w:p>
        </w:tc>
        <w:tc>
          <w:tcPr>
            <w:tcW w:w="1256" w:type="dxa"/>
          </w:tcPr>
          <w:p w14:paraId="2B1E8BFB" w14:textId="77777777" w:rsidR="009C3991" w:rsidRPr="003414C0" w:rsidRDefault="009C3991" w:rsidP="003414C0">
            <w:pPr>
              <w:jc w:val="center"/>
              <w:rPr>
                <w:rFonts w:cstheme="minorHAnsi"/>
                <w:sz w:val="20"/>
                <w:szCs w:val="20"/>
              </w:rPr>
            </w:pPr>
          </w:p>
        </w:tc>
        <w:tc>
          <w:tcPr>
            <w:tcW w:w="1257" w:type="dxa"/>
          </w:tcPr>
          <w:p w14:paraId="4DECE65D" w14:textId="77777777" w:rsidR="009C3991" w:rsidRPr="003414C0" w:rsidRDefault="009C3991" w:rsidP="003414C0">
            <w:pPr>
              <w:jc w:val="center"/>
              <w:rPr>
                <w:rFonts w:cstheme="minorHAnsi"/>
                <w:sz w:val="20"/>
                <w:szCs w:val="20"/>
              </w:rPr>
            </w:pPr>
          </w:p>
        </w:tc>
        <w:tc>
          <w:tcPr>
            <w:tcW w:w="1257" w:type="dxa"/>
          </w:tcPr>
          <w:p w14:paraId="144E50E2" w14:textId="7A5B2575" w:rsidR="009C3991" w:rsidRPr="003414C0" w:rsidRDefault="009C3991" w:rsidP="003414C0">
            <w:pPr>
              <w:jc w:val="center"/>
              <w:rPr>
                <w:rFonts w:cstheme="minorHAnsi"/>
                <w:sz w:val="20"/>
                <w:szCs w:val="20"/>
              </w:rPr>
            </w:pPr>
            <w:r>
              <w:rPr>
                <w:rFonts w:cstheme="minorHAnsi"/>
                <w:sz w:val="20"/>
                <w:szCs w:val="20"/>
              </w:rPr>
              <w:t>SI</w:t>
            </w:r>
          </w:p>
        </w:tc>
        <w:tc>
          <w:tcPr>
            <w:tcW w:w="1257" w:type="dxa"/>
          </w:tcPr>
          <w:p w14:paraId="1B81B270" w14:textId="77777777" w:rsidR="009C3991" w:rsidRPr="003414C0" w:rsidRDefault="009C3991" w:rsidP="003414C0">
            <w:pPr>
              <w:jc w:val="center"/>
              <w:rPr>
                <w:rFonts w:cstheme="minorHAnsi"/>
                <w:sz w:val="20"/>
                <w:szCs w:val="20"/>
              </w:rPr>
            </w:pPr>
          </w:p>
        </w:tc>
        <w:tc>
          <w:tcPr>
            <w:tcW w:w="1257" w:type="dxa"/>
          </w:tcPr>
          <w:p w14:paraId="7859A958" w14:textId="28FA731B" w:rsidR="009C3991" w:rsidRPr="003414C0" w:rsidRDefault="009C3991" w:rsidP="003414C0">
            <w:pPr>
              <w:jc w:val="center"/>
              <w:rPr>
                <w:rFonts w:cstheme="minorHAnsi"/>
                <w:sz w:val="20"/>
                <w:szCs w:val="20"/>
              </w:rPr>
            </w:pPr>
          </w:p>
        </w:tc>
      </w:tr>
    </w:tbl>
    <w:p w14:paraId="350C7F31" w14:textId="15B8EC39" w:rsidR="00C0484C" w:rsidRDefault="00C0484C" w:rsidP="00C0484C">
      <w:pPr>
        <w:rPr>
          <w:rFonts w:cstheme="minorHAnsi"/>
          <w:b/>
          <w:bCs/>
        </w:rPr>
      </w:pPr>
    </w:p>
    <w:p w14:paraId="5FC92447" w14:textId="77777777" w:rsidR="009C3991" w:rsidRPr="00265674" w:rsidRDefault="009C3991" w:rsidP="009C3991">
      <w:pPr>
        <w:rPr>
          <w:rFonts w:cstheme="minorHAnsi"/>
        </w:rPr>
      </w:pPr>
      <w:r w:rsidRPr="00265674">
        <w:rPr>
          <w:rFonts w:cstheme="minorHAnsi"/>
        </w:rPr>
        <w:t>Seguimiento:</w:t>
      </w:r>
    </w:p>
    <w:p w14:paraId="0CDEFCF3" w14:textId="3084DB49" w:rsidR="009C3991" w:rsidRPr="00265674" w:rsidRDefault="009C3991" w:rsidP="009C3991">
      <w:pPr>
        <w:rPr>
          <w:rFonts w:cstheme="minorHAnsi"/>
        </w:rPr>
      </w:pPr>
      <w:r w:rsidRPr="00265674">
        <w:rPr>
          <w:rFonts w:cstheme="minorHAnsi"/>
        </w:rPr>
        <w:t>Si en el seguimiento se utiliza una prueba de antígeno/anticuerpos de cuarta generación para el VIH (que</w:t>
      </w:r>
      <w:r w:rsidR="00265674">
        <w:rPr>
          <w:rFonts w:cstheme="minorHAnsi"/>
        </w:rPr>
        <w:t xml:space="preserve"> </w:t>
      </w:r>
      <w:r w:rsidRPr="00265674">
        <w:rPr>
          <w:rFonts w:cstheme="minorHAnsi"/>
        </w:rPr>
        <w:t>detecta antígeno p24), el seguimiento se puede concluir cuatro meses después de la exposición. Si no se</w:t>
      </w:r>
      <w:r w:rsidR="00396363">
        <w:rPr>
          <w:rFonts w:cstheme="minorHAnsi"/>
        </w:rPr>
        <w:t xml:space="preserve"> </w:t>
      </w:r>
      <w:r w:rsidRPr="00265674">
        <w:rPr>
          <w:rFonts w:cstheme="minorHAnsi"/>
        </w:rPr>
        <w:t>dispone de ensayos de cuarta generación, el seguimiento para VIH concluye normalmente seis meses</w:t>
      </w:r>
      <w:r w:rsidR="00265674">
        <w:rPr>
          <w:rFonts w:cstheme="minorHAnsi"/>
        </w:rPr>
        <w:t xml:space="preserve"> </w:t>
      </w:r>
      <w:r w:rsidRPr="00265674">
        <w:rPr>
          <w:rFonts w:cstheme="minorHAnsi"/>
        </w:rPr>
        <w:t>después de una exposición. (Recomendación fuerte a favor, calidad de evidencia alta).</w:t>
      </w:r>
    </w:p>
    <w:p w14:paraId="724AFDC7" w14:textId="21A82A5B" w:rsidR="009C3991" w:rsidRDefault="009C3991" w:rsidP="009C3991">
      <w:pPr>
        <w:rPr>
          <w:rFonts w:cstheme="minorHAnsi"/>
        </w:rPr>
      </w:pPr>
      <w:r w:rsidRPr="00265674">
        <w:rPr>
          <w:rFonts w:cstheme="minorHAnsi"/>
        </w:rPr>
        <w:lastRenderedPageBreak/>
        <w:t>Se deben recomendar a la persona expuesta, prácticas que permitan evitar la posible transmisión del VIH a</w:t>
      </w:r>
      <w:r w:rsidR="00265674">
        <w:rPr>
          <w:rFonts w:cstheme="minorHAnsi"/>
        </w:rPr>
        <w:t xml:space="preserve"> </w:t>
      </w:r>
      <w:r w:rsidRPr="00265674">
        <w:rPr>
          <w:rFonts w:cstheme="minorHAnsi"/>
        </w:rPr>
        <w:t>terceros durante el período de seguimiento, mediante la utilización de condón, uso no compartido de jeringas</w:t>
      </w:r>
      <w:r w:rsidR="00396363">
        <w:rPr>
          <w:rFonts w:cstheme="minorHAnsi"/>
        </w:rPr>
        <w:t xml:space="preserve"> </w:t>
      </w:r>
      <w:r w:rsidRPr="00265674">
        <w:rPr>
          <w:rFonts w:cstheme="minorHAnsi"/>
        </w:rPr>
        <w:t>en PID, entre otros (IIIA). Igualmente, se debe dar soporte emocional al trabajador expuesto y a su familia. No</w:t>
      </w:r>
      <w:r w:rsidR="00265674">
        <w:rPr>
          <w:rFonts w:cstheme="minorHAnsi"/>
        </w:rPr>
        <w:t xml:space="preserve"> </w:t>
      </w:r>
      <w:r w:rsidRPr="00265674">
        <w:rPr>
          <w:rFonts w:cstheme="minorHAnsi"/>
        </w:rPr>
        <w:t>se debe donar sangre u órganos durante el período de seguimiento para prevenir la posible transmisión de</w:t>
      </w:r>
      <w:r w:rsidR="00265674">
        <w:rPr>
          <w:rFonts w:cstheme="minorHAnsi"/>
        </w:rPr>
        <w:t xml:space="preserve"> </w:t>
      </w:r>
      <w:r w:rsidRPr="00265674">
        <w:rPr>
          <w:rFonts w:cstheme="minorHAnsi"/>
        </w:rPr>
        <w:t>ITS, VIH o Hepatitis B o C.</w:t>
      </w:r>
    </w:p>
    <w:p w14:paraId="4B6D9769" w14:textId="46567362" w:rsidR="00396363" w:rsidRDefault="00396363" w:rsidP="009C3991">
      <w:pPr>
        <w:rPr>
          <w:rFonts w:cstheme="minorHAnsi"/>
        </w:rPr>
      </w:pPr>
    </w:p>
    <w:p w14:paraId="7D954114" w14:textId="2FD18CAE" w:rsidR="00396363" w:rsidRDefault="00396363" w:rsidP="00C63BD4">
      <w:pPr>
        <w:pStyle w:val="Ttulo1"/>
      </w:pPr>
      <w:bookmarkStart w:id="18" w:name="_Toc84920678"/>
      <w:r w:rsidRPr="00396363">
        <w:t>7. BIBLIOGRAFÍA</w:t>
      </w:r>
      <w:bookmarkEnd w:id="18"/>
    </w:p>
    <w:p w14:paraId="150EC8C1" w14:textId="77777777" w:rsidR="00C63BD4" w:rsidRPr="00C63BD4" w:rsidRDefault="00C63BD4" w:rsidP="00C63BD4"/>
    <w:p w14:paraId="09F12C0E" w14:textId="77777777" w:rsidR="00396363" w:rsidRPr="00396363" w:rsidRDefault="00396363" w:rsidP="00396363">
      <w:pPr>
        <w:rPr>
          <w:rFonts w:cstheme="minorHAnsi"/>
        </w:rPr>
      </w:pPr>
      <w:r w:rsidRPr="00396363">
        <w:rPr>
          <w:rFonts w:cstheme="minorHAnsi"/>
        </w:rPr>
        <w:t>Guía para el manejo de VIH/Sida basada en la evidencia Colombia. 2006.</w:t>
      </w:r>
    </w:p>
    <w:p w14:paraId="23022A0C" w14:textId="4617258D" w:rsidR="00396363" w:rsidRDefault="00396363" w:rsidP="00396363">
      <w:pPr>
        <w:rPr>
          <w:rFonts w:cstheme="minorHAnsi"/>
        </w:rPr>
      </w:pPr>
      <w:r w:rsidRPr="00396363">
        <w:rPr>
          <w:rFonts w:cstheme="minorHAnsi"/>
        </w:rPr>
        <w:t>Plan Nacional de respuesta ante las ITS.VIH/Sida Colombia 2014-2017. Ministerio de Salud y Protección</w:t>
      </w:r>
      <w:r>
        <w:rPr>
          <w:rFonts w:cstheme="minorHAnsi"/>
        </w:rPr>
        <w:t xml:space="preserve"> </w:t>
      </w:r>
      <w:r w:rsidRPr="00396363">
        <w:rPr>
          <w:rFonts w:cstheme="minorHAnsi"/>
        </w:rPr>
        <w:t>Social Colombia.</w:t>
      </w:r>
    </w:p>
    <w:p w14:paraId="05758F14" w14:textId="77777777" w:rsidR="008330A1" w:rsidRPr="008330A1" w:rsidRDefault="008330A1" w:rsidP="008330A1">
      <w:pPr>
        <w:rPr>
          <w:rFonts w:cstheme="minorHAnsi"/>
        </w:rPr>
      </w:pPr>
      <w:r w:rsidRPr="008330A1">
        <w:rPr>
          <w:rFonts w:cstheme="minorHAnsi"/>
        </w:rPr>
        <w:t>Plan Nacional de control de las Hepatitis virales 2014-2017 Colombia. Ministerio de Salud y Protección Social.</w:t>
      </w:r>
    </w:p>
    <w:p w14:paraId="09FEA5E5" w14:textId="77777777" w:rsidR="008330A1" w:rsidRPr="008330A1" w:rsidRDefault="008330A1" w:rsidP="008330A1">
      <w:pPr>
        <w:rPr>
          <w:rFonts w:cstheme="minorHAnsi"/>
        </w:rPr>
      </w:pPr>
      <w:r w:rsidRPr="008330A1">
        <w:rPr>
          <w:rFonts w:cstheme="minorHAnsi"/>
        </w:rPr>
        <w:t>Consenso de expertos Colombia para PEP, Ministerio de Salud y Protección Social. Diciembre 2015.</w:t>
      </w:r>
    </w:p>
    <w:p w14:paraId="6A70C8D5" w14:textId="54E48E5D" w:rsidR="008330A1" w:rsidRPr="008330A1" w:rsidRDefault="008330A1" w:rsidP="008330A1">
      <w:pPr>
        <w:rPr>
          <w:rFonts w:cstheme="minorHAnsi"/>
        </w:rPr>
      </w:pPr>
      <w:r w:rsidRPr="008330A1">
        <w:rPr>
          <w:rFonts w:cstheme="minorHAnsi"/>
        </w:rPr>
        <w:t xml:space="preserve">Documento de Consenso sobre Profilaxis </w:t>
      </w:r>
      <w:proofErr w:type="spellStart"/>
      <w:r w:rsidRPr="008330A1">
        <w:rPr>
          <w:rFonts w:cstheme="minorHAnsi"/>
        </w:rPr>
        <w:t>post-exposición</w:t>
      </w:r>
      <w:proofErr w:type="spellEnd"/>
      <w:r w:rsidRPr="008330A1">
        <w:rPr>
          <w:rFonts w:cstheme="minorHAnsi"/>
        </w:rPr>
        <w:t xml:space="preserve"> ocupacional y no ocupacional en relación con el</w:t>
      </w:r>
      <w:r>
        <w:rPr>
          <w:rFonts w:cstheme="minorHAnsi"/>
        </w:rPr>
        <w:t xml:space="preserve"> </w:t>
      </w:r>
      <w:r w:rsidRPr="008330A1">
        <w:rPr>
          <w:rFonts w:cstheme="minorHAnsi"/>
        </w:rPr>
        <w:t>VIH, VHB y VHC en adultos y niños. GESIDA, Marzo de 2015.</w:t>
      </w:r>
    </w:p>
    <w:p w14:paraId="15C373B8" w14:textId="14BD127C" w:rsidR="008330A1" w:rsidRPr="008330A1" w:rsidRDefault="008330A1" w:rsidP="008330A1">
      <w:pPr>
        <w:rPr>
          <w:rFonts w:cstheme="minorHAnsi"/>
        </w:rPr>
      </w:pPr>
      <w:r w:rsidRPr="008330A1">
        <w:rPr>
          <w:rFonts w:cstheme="minorHAnsi"/>
        </w:rPr>
        <w:t>Ministerio de Salud y Protección Social - Colciencias Guía de Práctica Clínica para el abordaje sindrómico del</w:t>
      </w:r>
      <w:r>
        <w:rPr>
          <w:rFonts w:cstheme="minorHAnsi"/>
        </w:rPr>
        <w:t xml:space="preserve"> </w:t>
      </w:r>
      <w:r w:rsidRPr="008330A1">
        <w:rPr>
          <w:rFonts w:cstheme="minorHAnsi"/>
        </w:rPr>
        <w:t>diagnóstico y tratamiento de los pacientes con infecciones de transmisión sexual y otras infecciones del tracto</w:t>
      </w:r>
      <w:r>
        <w:rPr>
          <w:rFonts w:cstheme="minorHAnsi"/>
        </w:rPr>
        <w:t xml:space="preserve"> </w:t>
      </w:r>
      <w:r w:rsidRPr="008330A1">
        <w:rPr>
          <w:rFonts w:cstheme="minorHAnsi"/>
        </w:rPr>
        <w:t>genital. Guía No. 16</w:t>
      </w:r>
    </w:p>
    <w:p w14:paraId="063B181D" w14:textId="7E847C6A" w:rsidR="008330A1" w:rsidRDefault="008330A1" w:rsidP="008330A1">
      <w:pPr>
        <w:rPr>
          <w:rFonts w:cstheme="minorHAnsi"/>
        </w:rPr>
      </w:pPr>
      <w:hyperlink r:id="rId11" w:history="1">
        <w:r w:rsidRPr="003D59A4">
          <w:rPr>
            <w:rStyle w:val="Hipervnculo"/>
            <w:rFonts w:cstheme="minorHAnsi"/>
          </w:rPr>
          <w:t>https://www.minsalud.gov.co/sites/rid/Lists/BibliotecaDigital/RIDE/INEC/IETS/GPC_Comple_ITS.pdf</w:t>
        </w:r>
      </w:hyperlink>
      <w:r w:rsidRPr="008330A1">
        <w:rPr>
          <w:rFonts w:cstheme="minorHAnsi"/>
        </w:rPr>
        <w:t>.</w:t>
      </w:r>
    </w:p>
    <w:p w14:paraId="2418C1D7" w14:textId="77777777" w:rsidR="008330A1" w:rsidRPr="008330A1" w:rsidRDefault="008330A1" w:rsidP="008330A1">
      <w:pPr>
        <w:rPr>
          <w:rFonts w:cstheme="minorHAnsi"/>
        </w:rPr>
      </w:pPr>
      <w:r w:rsidRPr="008330A1">
        <w:rPr>
          <w:rFonts w:cstheme="minorHAnsi"/>
        </w:rPr>
        <w:t>Guía de Práctica Clínica basada en la evidencia científica para la atención de la infección por VIH/SIDA en</w:t>
      </w:r>
    </w:p>
    <w:p w14:paraId="64D11C83" w14:textId="77777777" w:rsidR="008330A1" w:rsidRPr="008330A1" w:rsidRDefault="008330A1" w:rsidP="008330A1">
      <w:pPr>
        <w:rPr>
          <w:rFonts w:cstheme="minorHAnsi"/>
        </w:rPr>
      </w:pPr>
      <w:r w:rsidRPr="008330A1">
        <w:rPr>
          <w:rFonts w:cstheme="minorHAnsi"/>
        </w:rPr>
        <w:t xml:space="preserve">adolescentes (mayores de 13 </w:t>
      </w:r>
      <w:proofErr w:type="gramStart"/>
      <w:r w:rsidRPr="008330A1">
        <w:rPr>
          <w:rFonts w:cstheme="minorHAnsi"/>
        </w:rPr>
        <w:t>años de edad</w:t>
      </w:r>
      <w:proofErr w:type="gramEnd"/>
      <w:r w:rsidRPr="008330A1">
        <w:rPr>
          <w:rFonts w:cstheme="minorHAnsi"/>
        </w:rPr>
        <w:t>) y adultos. Colombia MINSALUD. 2014</w:t>
      </w:r>
    </w:p>
    <w:p w14:paraId="453FAB66" w14:textId="77777777" w:rsidR="008330A1" w:rsidRPr="008330A1" w:rsidRDefault="008330A1" w:rsidP="008330A1">
      <w:pPr>
        <w:rPr>
          <w:rFonts w:cstheme="minorHAnsi"/>
        </w:rPr>
      </w:pPr>
      <w:r w:rsidRPr="008330A1">
        <w:rPr>
          <w:rFonts w:cstheme="minorHAnsi"/>
        </w:rPr>
        <w:t>http://gpc.minsalud.gov.co/gpc/SitePages/buscador_gpc.aspx.</w:t>
      </w:r>
    </w:p>
    <w:p w14:paraId="19112473" w14:textId="67F68452" w:rsidR="008330A1" w:rsidRPr="008330A1" w:rsidRDefault="008330A1" w:rsidP="008330A1">
      <w:pPr>
        <w:rPr>
          <w:rFonts w:cstheme="minorHAnsi"/>
        </w:rPr>
      </w:pPr>
      <w:r w:rsidRPr="008330A1">
        <w:rPr>
          <w:rFonts w:cstheme="minorHAnsi"/>
        </w:rPr>
        <w:t xml:space="preserve">Guía de práctica clínica basada en la evidencia científica para la atención de la infección por VIH en </w:t>
      </w:r>
      <w:proofErr w:type="gramStart"/>
      <w:r w:rsidRPr="008330A1">
        <w:rPr>
          <w:rFonts w:cstheme="minorHAnsi"/>
        </w:rPr>
        <w:t>niñas y</w:t>
      </w:r>
      <w:r>
        <w:rPr>
          <w:rFonts w:cstheme="minorHAnsi"/>
        </w:rPr>
        <w:t xml:space="preserve"> </w:t>
      </w:r>
      <w:r w:rsidRPr="008330A1">
        <w:rPr>
          <w:rFonts w:cstheme="minorHAnsi"/>
        </w:rPr>
        <w:t>niños</w:t>
      </w:r>
      <w:proofErr w:type="gramEnd"/>
      <w:r w:rsidRPr="008330A1">
        <w:rPr>
          <w:rFonts w:cstheme="minorHAnsi"/>
        </w:rPr>
        <w:t xml:space="preserve"> menores de 13 años. Colombia MINSALUD. 2014</w:t>
      </w:r>
    </w:p>
    <w:p w14:paraId="41B00B7F" w14:textId="511148B8" w:rsidR="008330A1" w:rsidRDefault="008330A1" w:rsidP="008330A1">
      <w:pPr>
        <w:rPr>
          <w:rFonts w:cstheme="minorHAnsi"/>
        </w:rPr>
      </w:pPr>
      <w:hyperlink r:id="rId12" w:history="1">
        <w:r w:rsidRPr="003D59A4">
          <w:rPr>
            <w:rStyle w:val="Hipervnculo"/>
            <w:rFonts w:cstheme="minorHAnsi"/>
          </w:rPr>
          <w:t>http://gpc.minsalud.gov.co/gpc/SitePages/buscador_gpc.aspx</w:t>
        </w:r>
      </w:hyperlink>
      <w:r w:rsidRPr="008330A1">
        <w:rPr>
          <w:rFonts w:cstheme="minorHAnsi"/>
        </w:rPr>
        <w:t>.</w:t>
      </w:r>
    </w:p>
    <w:p w14:paraId="19B5D810" w14:textId="77777777" w:rsidR="008330A1" w:rsidRPr="008330A1" w:rsidRDefault="008330A1" w:rsidP="008330A1">
      <w:pPr>
        <w:rPr>
          <w:rFonts w:cstheme="minorHAnsi"/>
        </w:rPr>
      </w:pPr>
      <w:r w:rsidRPr="008330A1">
        <w:rPr>
          <w:rFonts w:cstheme="minorHAnsi"/>
        </w:rPr>
        <w:t>Guía de práctica clínica sobre diagnóstico y tratamiento de Hepatitis B Crónica. Colombia MINSALUD. 2015.</w:t>
      </w:r>
    </w:p>
    <w:p w14:paraId="702E97E1" w14:textId="32958075" w:rsidR="008330A1" w:rsidRDefault="008330A1" w:rsidP="008330A1">
      <w:pPr>
        <w:rPr>
          <w:rFonts w:cstheme="minorHAnsi"/>
        </w:rPr>
      </w:pPr>
      <w:hyperlink r:id="rId13" w:history="1">
        <w:r w:rsidRPr="003D59A4">
          <w:rPr>
            <w:rStyle w:val="Hipervnculo"/>
            <w:rFonts w:cstheme="minorHAnsi"/>
          </w:rPr>
          <w:t>http://gpc.minsalud.gov.co/gpc/SitePages/buscador_gpc.aspx</w:t>
        </w:r>
      </w:hyperlink>
      <w:r w:rsidRPr="008330A1">
        <w:rPr>
          <w:rFonts w:cstheme="minorHAnsi"/>
        </w:rPr>
        <w:t>.</w:t>
      </w:r>
    </w:p>
    <w:p w14:paraId="01086506" w14:textId="67A26918" w:rsidR="008330A1" w:rsidRDefault="008330A1" w:rsidP="008330A1">
      <w:pPr>
        <w:rPr>
          <w:rFonts w:cstheme="minorHAnsi"/>
        </w:rPr>
      </w:pPr>
      <w:r w:rsidRPr="008330A1">
        <w:rPr>
          <w:rFonts w:cstheme="minorHAnsi"/>
        </w:rPr>
        <w:lastRenderedPageBreak/>
        <w:t>Guía de práctica clínica para la tamización, diagnóstico y tratamiento de personas con infección por el virus de</w:t>
      </w:r>
      <w:r>
        <w:rPr>
          <w:rFonts w:cstheme="minorHAnsi"/>
        </w:rPr>
        <w:t xml:space="preserve"> </w:t>
      </w:r>
      <w:r w:rsidRPr="008330A1">
        <w:rPr>
          <w:rFonts w:cstheme="minorHAnsi"/>
        </w:rPr>
        <w:t xml:space="preserve">la hepatitis C. Colombia MINSALUD. 2015. </w:t>
      </w:r>
      <w:hyperlink r:id="rId14" w:history="1">
        <w:r w:rsidRPr="003D59A4">
          <w:rPr>
            <w:rStyle w:val="Hipervnculo"/>
            <w:rFonts w:cstheme="minorHAnsi"/>
          </w:rPr>
          <w:t>http://gpc.minsalud.gov.co/gpc/SitePages/buscador_gpc.aspx</w:t>
        </w:r>
      </w:hyperlink>
      <w:r w:rsidRPr="008330A1">
        <w:rPr>
          <w:rFonts w:cstheme="minorHAnsi"/>
        </w:rPr>
        <w:t>.</w:t>
      </w:r>
    </w:p>
    <w:p w14:paraId="0FE8713B" w14:textId="629EC206" w:rsidR="008330A1" w:rsidRDefault="008330A1" w:rsidP="008330A1">
      <w:pPr>
        <w:rPr>
          <w:rFonts w:cstheme="minorHAnsi"/>
          <w:lang w:val="en-US"/>
        </w:rPr>
      </w:pPr>
      <w:r w:rsidRPr="008330A1">
        <w:rPr>
          <w:rFonts w:cstheme="minorHAnsi"/>
          <w:lang w:val="en-US"/>
        </w:rPr>
        <w:t>The Expert Advisory Group on AIDS (EAGA) provides advice to the Chief Medical Officers of the health</w:t>
      </w:r>
      <w:r>
        <w:rPr>
          <w:rFonts w:cstheme="minorHAnsi"/>
          <w:lang w:val="en-US"/>
        </w:rPr>
        <w:t xml:space="preserve"> </w:t>
      </w:r>
      <w:r w:rsidRPr="008330A1">
        <w:rPr>
          <w:rFonts w:cstheme="minorHAnsi"/>
          <w:lang w:val="en-US"/>
        </w:rPr>
        <w:t>departments of the United Kingdom on matters relating to HIV/AIDS. Change to recommended regimen for</w:t>
      </w:r>
      <w:r>
        <w:rPr>
          <w:rFonts w:cstheme="minorHAnsi"/>
          <w:lang w:val="en-US"/>
        </w:rPr>
        <w:t xml:space="preserve"> </w:t>
      </w:r>
      <w:r w:rsidRPr="008330A1">
        <w:rPr>
          <w:rFonts w:cstheme="minorHAnsi"/>
          <w:lang w:val="en-US"/>
        </w:rPr>
        <w:t xml:space="preserve">post-exposure prophylaxis (PEP). Sept 2014. </w:t>
      </w:r>
      <w:hyperlink r:id="rId15" w:history="1">
        <w:r w:rsidRPr="003D59A4">
          <w:rPr>
            <w:rStyle w:val="Hipervnculo"/>
            <w:rFonts w:cstheme="minorHAnsi"/>
            <w:lang w:val="en-US"/>
          </w:rPr>
          <w:t>https://www.gov.uk/government/publications/eaga-guidance-on-hivpost-exposure-prophylaxis</w:t>
        </w:r>
      </w:hyperlink>
      <w:r w:rsidRPr="008330A1">
        <w:rPr>
          <w:rFonts w:cstheme="minorHAnsi"/>
          <w:lang w:val="en-US"/>
        </w:rPr>
        <w:t>.</w:t>
      </w:r>
    </w:p>
    <w:p w14:paraId="3A1F8840" w14:textId="3258D48E" w:rsidR="008330A1" w:rsidRDefault="008330A1" w:rsidP="008330A1">
      <w:pPr>
        <w:rPr>
          <w:rFonts w:cstheme="minorHAnsi"/>
          <w:lang w:val="en-US"/>
        </w:rPr>
      </w:pPr>
      <w:r w:rsidRPr="008330A1">
        <w:rPr>
          <w:rFonts w:cstheme="minorHAnsi"/>
          <w:lang w:val="en-US"/>
        </w:rPr>
        <w:t>The New York State Department of Health AIDS Institute. Updated. http://www.hivguidelines.org/clinicalguidelines/post-exposure-prophylaxis/. Adults: Oct 2014. Children Jun 2010.</w:t>
      </w:r>
    </w:p>
    <w:p w14:paraId="701AAE26" w14:textId="77777777" w:rsidR="00AF157B" w:rsidRDefault="00AF157B" w:rsidP="008330A1">
      <w:pPr>
        <w:rPr>
          <w:rFonts w:cstheme="minorHAnsi"/>
          <w:lang w:val="en-US"/>
        </w:rPr>
      </w:pPr>
      <w:r w:rsidRPr="00AF157B">
        <w:rPr>
          <w:rFonts w:cstheme="minorHAnsi"/>
          <w:lang w:val="en-US"/>
        </w:rPr>
        <w:t xml:space="preserve">OMS. Guidelines on post-exposure prophylaxis for HIV and the use of co-trimoxazole prophylaxis </w:t>
      </w:r>
      <w:proofErr w:type="spellStart"/>
      <w:r w:rsidRPr="00AF157B">
        <w:rPr>
          <w:rFonts w:cstheme="minorHAnsi"/>
          <w:lang w:val="en-US"/>
        </w:rPr>
        <w:t>for</w:t>
      </w:r>
      <w:r w:rsidR="008330A1" w:rsidRPr="008330A1">
        <w:rPr>
          <w:rFonts w:cstheme="minorHAnsi"/>
          <w:lang w:val="en-US"/>
        </w:rPr>
        <w:t>HIVrelated</w:t>
      </w:r>
      <w:proofErr w:type="spellEnd"/>
      <w:r>
        <w:rPr>
          <w:rFonts w:cstheme="minorHAnsi"/>
          <w:lang w:val="en-US"/>
        </w:rPr>
        <w:t xml:space="preserve"> </w:t>
      </w:r>
      <w:r w:rsidR="008330A1" w:rsidRPr="008330A1">
        <w:rPr>
          <w:rFonts w:cstheme="minorHAnsi"/>
          <w:lang w:val="en-US"/>
        </w:rPr>
        <w:t xml:space="preserve">infections among adults, </w:t>
      </w:r>
      <w:proofErr w:type="gramStart"/>
      <w:r w:rsidR="008330A1" w:rsidRPr="008330A1">
        <w:rPr>
          <w:rFonts w:cstheme="minorHAnsi"/>
          <w:lang w:val="en-US"/>
        </w:rPr>
        <w:t>adolescents</w:t>
      </w:r>
      <w:proofErr w:type="gramEnd"/>
      <w:r w:rsidR="008330A1" w:rsidRPr="008330A1">
        <w:rPr>
          <w:rFonts w:cstheme="minorHAnsi"/>
          <w:lang w:val="en-US"/>
        </w:rPr>
        <w:t xml:space="preserve"> and children</w:t>
      </w:r>
      <w:r>
        <w:rPr>
          <w:rFonts w:cstheme="minorHAnsi"/>
          <w:lang w:val="en-US"/>
        </w:rPr>
        <w:t xml:space="preserve"> </w:t>
      </w:r>
    </w:p>
    <w:p w14:paraId="3E98FF4D" w14:textId="4158DEB7" w:rsidR="008330A1" w:rsidRPr="008330A1" w:rsidRDefault="008330A1" w:rsidP="008330A1">
      <w:pPr>
        <w:rPr>
          <w:rFonts w:cstheme="minorHAnsi"/>
          <w:lang w:val="en-US"/>
        </w:rPr>
      </w:pPr>
      <w:r w:rsidRPr="008330A1">
        <w:rPr>
          <w:rFonts w:cstheme="minorHAnsi"/>
          <w:lang w:val="en-US"/>
        </w:rPr>
        <w:t>Recommendations for a public health approach - December 2014 supplement to the 2013 consolidated ARV</w:t>
      </w:r>
      <w:r w:rsidR="00AF157B">
        <w:rPr>
          <w:rFonts w:cstheme="minorHAnsi"/>
          <w:lang w:val="en-US"/>
        </w:rPr>
        <w:t xml:space="preserve"> </w:t>
      </w:r>
      <w:r w:rsidRPr="008330A1">
        <w:rPr>
          <w:rFonts w:cstheme="minorHAnsi"/>
          <w:lang w:val="en-US"/>
        </w:rPr>
        <w:t>guidelines. 27 November 2014.</w:t>
      </w:r>
    </w:p>
    <w:p w14:paraId="0E870E28" w14:textId="66E8ADCB" w:rsidR="008330A1" w:rsidRDefault="00AF157B" w:rsidP="008330A1">
      <w:pPr>
        <w:rPr>
          <w:rFonts w:cstheme="minorHAnsi"/>
          <w:lang w:val="en-US"/>
        </w:rPr>
      </w:pPr>
      <w:hyperlink r:id="rId16" w:history="1">
        <w:r w:rsidRPr="003D59A4">
          <w:rPr>
            <w:rStyle w:val="Hipervnculo"/>
            <w:rFonts w:cstheme="minorHAnsi"/>
            <w:lang w:val="en-US"/>
          </w:rPr>
          <w:t>http://www.who.int/hiv/pub/guidelines/arv2013/arvs2013upplement_dec2014/en/</w:t>
        </w:r>
      </w:hyperlink>
    </w:p>
    <w:p w14:paraId="7E3589B1" w14:textId="77777777" w:rsidR="00AF157B" w:rsidRPr="008330A1" w:rsidRDefault="00AF157B" w:rsidP="008330A1">
      <w:pPr>
        <w:rPr>
          <w:rFonts w:cstheme="minorHAnsi"/>
          <w:lang w:val="en-US"/>
        </w:rPr>
      </w:pPr>
    </w:p>
    <w:p w14:paraId="4A04FF79" w14:textId="64774035" w:rsidR="008330A1" w:rsidRPr="008330A1" w:rsidRDefault="008330A1" w:rsidP="008330A1">
      <w:pPr>
        <w:rPr>
          <w:rFonts w:cstheme="minorHAnsi"/>
          <w:lang w:val="en-US"/>
        </w:rPr>
      </w:pPr>
      <w:r w:rsidRPr="008330A1">
        <w:rPr>
          <w:rFonts w:cstheme="minorHAnsi"/>
          <w:lang w:val="en-US"/>
        </w:rPr>
        <w:t>Practical Advice for Emergency IUD Contraception in Young Women. Norman D. Goldstuck1 and Dirk</w:t>
      </w:r>
      <w:r w:rsidR="00AF157B">
        <w:rPr>
          <w:rFonts w:cstheme="minorHAnsi"/>
          <w:lang w:val="en-US"/>
        </w:rPr>
        <w:t xml:space="preserve"> </w:t>
      </w:r>
      <w:r w:rsidRPr="008330A1">
        <w:rPr>
          <w:rFonts w:cstheme="minorHAnsi"/>
          <w:lang w:val="en-US"/>
        </w:rPr>
        <w:t>Wildemeersch2</w:t>
      </w:r>
    </w:p>
    <w:p w14:paraId="1BE3E08C" w14:textId="384A53B9" w:rsidR="008330A1" w:rsidRPr="008330A1" w:rsidRDefault="008330A1" w:rsidP="008330A1">
      <w:pPr>
        <w:rPr>
          <w:rFonts w:cstheme="minorHAnsi"/>
          <w:lang w:val="en-US"/>
        </w:rPr>
      </w:pPr>
      <w:proofErr w:type="spellStart"/>
      <w:r w:rsidRPr="008330A1">
        <w:rPr>
          <w:rFonts w:cstheme="minorHAnsi"/>
          <w:lang w:val="en-US"/>
        </w:rPr>
        <w:t>Hindawi</w:t>
      </w:r>
      <w:proofErr w:type="spellEnd"/>
      <w:r w:rsidRPr="008330A1">
        <w:rPr>
          <w:rFonts w:cstheme="minorHAnsi"/>
          <w:lang w:val="en-US"/>
        </w:rPr>
        <w:t xml:space="preserve"> Publishing Corporation Obstetrics and Gynecology International Volume 2015, Article ID 986439, 6</w:t>
      </w:r>
      <w:r w:rsidR="00AF157B">
        <w:rPr>
          <w:rFonts w:cstheme="minorHAnsi"/>
          <w:lang w:val="en-US"/>
        </w:rPr>
        <w:t xml:space="preserve"> </w:t>
      </w:r>
      <w:r w:rsidRPr="008330A1">
        <w:rPr>
          <w:rFonts w:cstheme="minorHAnsi"/>
          <w:lang w:val="en-US"/>
        </w:rPr>
        <w:t>pages http://dx.doi.org/10.1155/2015/986439.</w:t>
      </w:r>
    </w:p>
    <w:p w14:paraId="37D991E6" w14:textId="79D93737" w:rsidR="008330A1" w:rsidRPr="008330A1" w:rsidRDefault="008330A1" w:rsidP="008330A1">
      <w:pPr>
        <w:rPr>
          <w:rFonts w:cstheme="minorHAnsi"/>
          <w:lang w:val="en-US"/>
        </w:rPr>
      </w:pPr>
      <w:r w:rsidRPr="008330A1">
        <w:rPr>
          <w:rFonts w:cstheme="minorHAnsi"/>
        </w:rPr>
        <w:t xml:space="preserve">Lineamientos técnicos para la gestión del riesgo en los trabajadores expuestos a agentes. </w:t>
      </w:r>
      <w:proofErr w:type="spellStart"/>
      <w:r w:rsidRPr="008330A1">
        <w:rPr>
          <w:rFonts w:cstheme="minorHAnsi"/>
          <w:lang w:val="en-US"/>
        </w:rPr>
        <w:t>Convenio</w:t>
      </w:r>
      <w:proofErr w:type="spellEnd"/>
      <w:r w:rsidRPr="008330A1">
        <w:rPr>
          <w:rFonts w:cstheme="minorHAnsi"/>
          <w:lang w:val="en-US"/>
        </w:rPr>
        <w:t xml:space="preserve"> 519 de</w:t>
      </w:r>
      <w:r w:rsidR="00AF157B">
        <w:rPr>
          <w:rFonts w:cstheme="minorHAnsi"/>
          <w:lang w:val="en-US"/>
        </w:rPr>
        <w:t xml:space="preserve"> </w:t>
      </w:r>
      <w:r w:rsidRPr="008330A1">
        <w:rPr>
          <w:rFonts w:cstheme="minorHAnsi"/>
          <w:lang w:val="en-US"/>
        </w:rPr>
        <w:t>2015 MINSALUD-OPS. 2016</w:t>
      </w:r>
    </w:p>
    <w:p w14:paraId="5E412EFB" w14:textId="32C37F6C" w:rsidR="008330A1" w:rsidRPr="00AF157B" w:rsidRDefault="008330A1" w:rsidP="008330A1">
      <w:pPr>
        <w:rPr>
          <w:rFonts w:cstheme="minorHAnsi"/>
          <w:lang w:val="en-US"/>
        </w:rPr>
      </w:pPr>
      <w:r w:rsidRPr="008330A1">
        <w:rPr>
          <w:rFonts w:cstheme="minorHAnsi"/>
          <w:lang w:val="en-US"/>
        </w:rPr>
        <w:t>Guidance for Evaluating Health-Care Personnel for Hepatitis B Virus Protection and for Administering</w:t>
      </w:r>
      <w:r w:rsidR="00AF157B">
        <w:rPr>
          <w:rFonts w:cstheme="minorHAnsi"/>
          <w:lang w:val="en-US"/>
        </w:rPr>
        <w:t xml:space="preserve"> </w:t>
      </w:r>
      <w:r w:rsidRPr="008330A1">
        <w:rPr>
          <w:rFonts w:cstheme="minorHAnsi"/>
          <w:lang w:val="en-US"/>
        </w:rPr>
        <w:t>Postexposure Management. CDC. MMWR Recommendations and Reports, December 20, 2013 / 62(RR10);1-</w:t>
      </w:r>
      <w:r w:rsidRPr="008330A1">
        <w:rPr>
          <w:rFonts w:cstheme="minorHAnsi"/>
        </w:rPr>
        <w:t>19.</w:t>
      </w:r>
    </w:p>
    <w:p w14:paraId="6FE1C64D" w14:textId="7946A53E" w:rsidR="008330A1" w:rsidRPr="008330A1" w:rsidRDefault="008330A1" w:rsidP="008330A1">
      <w:pPr>
        <w:rPr>
          <w:rFonts w:cstheme="minorHAnsi"/>
          <w:lang w:val="en-US"/>
        </w:rPr>
      </w:pPr>
      <w:r w:rsidRPr="008330A1">
        <w:rPr>
          <w:rFonts w:cstheme="minorHAnsi"/>
        </w:rPr>
        <w:t xml:space="preserve">Profilaxis </w:t>
      </w:r>
      <w:proofErr w:type="spellStart"/>
      <w:r w:rsidRPr="008330A1">
        <w:rPr>
          <w:rFonts w:cstheme="minorHAnsi"/>
        </w:rPr>
        <w:t>post-exposición</w:t>
      </w:r>
      <w:proofErr w:type="spellEnd"/>
      <w:r w:rsidRPr="008330A1">
        <w:rPr>
          <w:rFonts w:cstheme="minorHAnsi"/>
        </w:rPr>
        <w:t xml:space="preserve"> para prevenir la infección por el virus de la hepatitis B. MMWR </w:t>
      </w:r>
      <w:proofErr w:type="spellStart"/>
      <w:r w:rsidRPr="008330A1">
        <w:rPr>
          <w:rFonts w:cstheme="minorHAnsi"/>
        </w:rPr>
        <w:t>Recomm</w:t>
      </w:r>
      <w:proofErr w:type="spellEnd"/>
      <w:r w:rsidRPr="008330A1">
        <w:rPr>
          <w:rFonts w:cstheme="minorHAnsi"/>
        </w:rPr>
        <w:t xml:space="preserve">. </w:t>
      </w:r>
      <w:r w:rsidRPr="008330A1">
        <w:rPr>
          <w:rFonts w:cstheme="minorHAnsi"/>
          <w:lang w:val="en-US"/>
        </w:rPr>
        <w:t>CDC. Rep</w:t>
      </w:r>
      <w:r w:rsidR="00AF157B">
        <w:rPr>
          <w:rFonts w:cstheme="minorHAnsi"/>
          <w:lang w:val="en-US"/>
        </w:rPr>
        <w:t xml:space="preserve"> </w:t>
      </w:r>
      <w:r w:rsidRPr="008330A1">
        <w:rPr>
          <w:rFonts w:cstheme="minorHAnsi"/>
          <w:lang w:val="en-US"/>
        </w:rPr>
        <w:t>2006; 55(No.RR-16)</w:t>
      </w:r>
    </w:p>
    <w:p w14:paraId="7E46DB8E" w14:textId="1A3B876C" w:rsidR="008330A1" w:rsidRPr="008330A1" w:rsidRDefault="008330A1" w:rsidP="008330A1">
      <w:pPr>
        <w:rPr>
          <w:rFonts w:cstheme="minorHAnsi"/>
          <w:lang w:val="en-US"/>
        </w:rPr>
      </w:pPr>
      <w:r w:rsidRPr="008330A1">
        <w:rPr>
          <w:rFonts w:cstheme="minorHAnsi"/>
          <w:lang w:val="en-US"/>
        </w:rPr>
        <w:t>Centers for Disease Control and Prevention. A Comprehensive Immunization Strategy to Eliminate</w:t>
      </w:r>
      <w:r w:rsidR="00AF157B">
        <w:rPr>
          <w:rFonts w:cstheme="minorHAnsi"/>
          <w:lang w:val="en-US"/>
        </w:rPr>
        <w:t xml:space="preserve"> </w:t>
      </w:r>
      <w:r w:rsidRPr="008330A1">
        <w:rPr>
          <w:rFonts w:cstheme="minorHAnsi"/>
          <w:lang w:val="en-US"/>
        </w:rPr>
        <w:t>Transmission of Hepatitis B Virus Infection in the United States. Recommendations of the Advisory Committee</w:t>
      </w:r>
      <w:r w:rsidR="00AF157B">
        <w:rPr>
          <w:rFonts w:cstheme="minorHAnsi"/>
          <w:lang w:val="en-US"/>
        </w:rPr>
        <w:t xml:space="preserve"> </w:t>
      </w:r>
      <w:r w:rsidRPr="008330A1">
        <w:rPr>
          <w:rFonts w:cstheme="minorHAnsi"/>
          <w:lang w:val="en-US"/>
        </w:rPr>
        <w:t>on Immunization Practices (ACIP) Part II: Immunization of Adults. MMWR Recommendations and Reports,</w:t>
      </w:r>
      <w:r w:rsidR="00AF157B">
        <w:rPr>
          <w:rFonts w:cstheme="minorHAnsi"/>
          <w:lang w:val="en-US"/>
        </w:rPr>
        <w:t xml:space="preserve"> </w:t>
      </w:r>
      <w:r w:rsidRPr="008330A1">
        <w:rPr>
          <w:rFonts w:cstheme="minorHAnsi"/>
          <w:lang w:val="en-US"/>
        </w:rPr>
        <w:t xml:space="preserve">December 8, 2006 / 55 (RR16); 1-25. Disponible </w:t>
      </w:r>
      <w:proofErr w:type="spellStart"/>
      <w:r w:rsidRPr="008330A1">
        <w:rPr>
          <w:rFonts w:cstheme="minorHAnsi"/>
          <w:lang w:val="en-US"/>
        </w:rPr>
        <w:t>en</w:t>
      </w:r>
      <w:proofErr w:type="spellEnd"/>
    </w:p>
    <w:p w14:paraId="7F61E120" w14:textId="0A244C6B" w:rsidR="008330A1" w:rsidRDefault="00AF157B" w:rsidP="008330A1">
      <w:pPr>
        <w:rPr>
          <w:rFonts w:cstheme="minorHAnsi"/>
          <w:lang w:val="en-US"/>
        </w:rPr>
      </w:pPr>
      <w:hyperlink r:id="rId17" w:history="1">
        <w:r w:rsidRPr="003D59A4">
          <w:rPr>
            <w:rStyle w:val="Hipervnculo"/>
            <w:rFonts w:cstheme="minorHAnsi"/>
            <w:lang w:val="en-US"/>
          </w:rPr>
          <w:t>https://www.cdc.gov/mmwr/preview/mmwrhtml/rr5516a1.htm</w:t>
        </w:r>
      </w:hyperlink>
    </w:p>
    <w:p w14:paraId="78CEC349" w14:textId="6BBAED18" w:rsidR="008330A1" w:rsidRPr="00AF157B" w:rsidRDefault="008330A1" w:rsidP="008330A1">
      <w:pPr>
        <w:rPr>
          <w:rFonts w:cstheme="minorHAnsi"/>
          <w:lang w:val="en-US"/>
        </w:rPr>
      </w:pPr>
      <w:r w:rsidRPr="008330A1">
        <w:rPr>
          <w:rFonts w:cstheme="minorHAnsi"/>
          <w:lang w:val="en-US"/>
        </w:rPr>
        <w:lastRenderedPageBreak/>
        <w:t>Centers for Disease Control and Prevention. Guidance for Evaluating Health-Care Personnel for Hepatitis B</w:t>
      </w:r>
      <w:r w:rsidR="00AF157B">
        <w:rPr>
          <w:rFonts w:cstheme="minorHAnsi"/>
          <w:lang w:val="en-US"/>
        </w:rPr>
        <w:t xml:space="preserve"> </w:t>
      </w:r>
      <w:r w:rsidRPr="008330A1">
        <w:rPr>
          <w:rFonts w:cstheme="minorHAnsi"/>
          <w:lang w:val="en-US"/>
        </w:rPr>
        <w:t>Virus Protection and for Administering Postexposure Management. MMWR Recommendations and Reports,</w:t>
      </w:r>
      <w:r w:rsidR="00AF157B">
        <w:rPr>
          <w:rFonts w:cstheme="minorHAnsi"/>
          <w:lang w:val="en-US"/>
        </w:rPr>
        <w:t xml:space="preserve"> </w:t>
      </w:r>
      <w:r w:rsidRPr="008330A1">
        <w:rPr>
          <w:rFonts w:cstheme="minorHAnsi"/>
          <w:lang w:val="en-US"/>
        </w:rPr>
        <w:t xml:space="preserve">December 20, 2013 / 62(RR10);1-19. </w:t>
      </w:r>
      <w:r w:rsidRPr="008330A1">
        <w:rPr>
          <w:rFonts w:cstheme="minorHAnsi"/>
        </w:rPr>
        <w:t>Disponible en</w:t>
      </w:r>
    </w:p>
    <w:p w14:paraId="14DF2188" w14:textId="535AC354" w:rsidR="008330A1" w:rsidRPr="00AF157B" w:rsidRDefault="00AF157B" w:rsidP="008330A1">
      <w:pPr>
        <w:rPr>
          <w:rFonts w:cstheme="minorHAnsi"/>
          <w:lang w:val="en-US"/>
        </w:rPr>
      </w:pPr>
      <w:hyperlink r:id="rId18" w:history="1">
        <w:r w:rsidRPr="00AF157B">
          <w:rPr>
            <w:rStyle w:val="Hipervnculo"/>
            <w:rFonts w:cstheme="minorHAnsi"/>
            <w:lang w:val="en-US"/>
          </w:rPr>
          <w:t>https://www.cdc.gov/mmwr/preview/mmwrhtml/rr6210a1.htm</w:t>
        </w:r>
      </w:hyperlink>
    </w:p>
    <w:p w14:paraId="04749057" w14:textId="77777777" w:rsidR="008330A1" w:rsidRPr="00AF157B" w:rsidRDefault="008330A1" w:rsidP="008330A1">
      <w:pPr>
        <w:rPr>
          <w:rFonts w:cstheme="minorHAnsi"/>
          <w:lang w:val="en-US"/>
        </w:rPr>
      </w:pPr>
    </w:p>
    <w:sectPr w:rsidR="008330A1" w:rsidRPr="00AF157B">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5523" w14:textId="77777777" w:rsidR="00EF7735" w:rsidRDefault="00EF7735" w:rsidP="0039023A">
      <w:pPr>
        <w:spacing w:after="0" w:line="240" w:lineRule="auto"/>
      </w:pPr>
      <w:r>
        <w:separator/>
      </w:r>
    </w:p>
  </w:endnote>
  <w:endnote w:type="continuationSeparator" w:id="0">
    <w:p w14:paraId="21CA3A3B" w14:textId="77777777" w:rsidR="00EF7735" w:rsidRDefault="00EF7735" w:rsidP="0039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C9EB" w14:textId="77777777" w:rsidR="00EF7735" w:rsidRDefault="00EF7735" w:rsidP="0039023A">
      <w:pPr>
        <w:spacing w:after="0" w:line="240" w:lineRule="auto"/>
      </w:pPr>
      <w:r>
        <w:separator/>
      </w:r>
    </w:p>
  </w:footnote>
  <w:footnote w:type="continuationSeparator" w:id="0">
    <w:p w14:paraId="29C342A3" w14:textId="77777777" w:rsidR="00EF7735" w:rsidRDefault="00EF7735" w:rsidP="0039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ook w:val="04A0" w:firstRow="1" w:lastRow="0" w:firstColumn="1" w:lastColumn="0" w:noHBand="0" w:noVBand="1"/>
    </w:tblPr>
    <w:tblGrid>
      <w:gridCol w:w="2106"/>
      <w:gridCol w:w="2898"/>
      <w:gridCol w:w="2883"/>
      <w:gridCol w:w="1180"/>
    </w:tblGrid>
    <w:tr w:rsidR="0039023A" w14:paraId="0B8763F0" w14:textId="77777777" w:rsidTr="00593BD5">
      <w:trPr>
        <w:trHeight w:val="259"/>
      </w:trPr>
      <w:tc>
        <w:tcPr>
          <w:tcW w:w="1004" w:type="pct"/>
          <w:vMerge w:val="restart"/>
          <w:tcBorders>
            <w:top w:val="single" w:sz="8" w:space="0" w:color="auto"/>
            <w:left w:val="single" w:sz="8" w:space="0" w:color="auto"/>
            <w:bottom w:val="single" w:sz="8" w:space="0" w:color="auto"/>
            <w:right w:val="single" w:sz="8" w:space="0" w:color="auto"/>
          </w:tcBorders>
          <w:vAlign w:val="center"/>
          <w:hideMark/>
        </w:tcPr>
        <w:p w14:paraId="1010C058" w14:textId="4CC96097" w:rsidR="0039023A" w:rsidRDefault="0039023A" w:rsidP="0039023A">
          <w:pPr>
            <w:spacing w:after="0"/>
          </w:pPr>
          <w:r w:rsidRPr="005151E7">
            <w:rPr>
              <w:noProof/>
            </w:rPr>
            <w:drawing>
              <wp:inline distT="0" distB="0" distL="0" distR="0" wp14:anchorId="565EDB52" wp14:editId="25B285F2">
                <wp:extent cx="1190625" cy="552450"/>
                <wp:effectExtent l="0" t="0" r="9525"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52450"/>
                        </a:xfrm>
                        <a:prstGeom prst="rect">
                          <a:avLst/>
                        </a:prstGeom>
                        <a:noFill/>
                        <a:ln>
                          <a:noFill/>
                        </a:ln>
                      </pic:spPr>
                    </pic:pic>
                  </a:graphicData>
                </a:graphic>
              </wp:inline>
            </w:drawing>
          </w:r>
        </w:p>
      </w:tc>
      <w:tc>
        <w:tcPr>
          <w:tcW w:w="3293" w:type="pct"/>
          <w:gridSpan w:val="2"/>
          <w:tcBorders>
            <w:top w:val="single" w:sz="8" w:space="0" w:color="auto"/>
            <w:left w:val="nil"/>
            <w:bottom w:val="single" w:sz="8" w:space="0" w:color="auto"/>
            <w:right w:val="single" w:sz="8" w:space="0" w:color="auto"/>
          </w:tcBorders>
          <w:vAlign w:val="center"/>
          <w:hideMark/>
        </w:tcPr>
        <w:p w14:paraId="6DAFA47E" w14:textId="77777777" w:rsidR="0039023A" w:rsidRDefault="0039023A" w:rsidP="0039023A">
          <w:pPr>
            <w:spacing w:after="0"/>
            <w:jc w:val="center"/>
          </w:pPr>
          <w:r>
            <w:rPr>
              <w:rFonts w:ascii="Calibri" w:hAnsi="Calibri" w:cs="Calibri"/>
              <w:sz w:val="18"/>
              <w:szCs w:val="18"/>
              <w:lang w:val="es-ES_tradnl"/>
            </w:rPr>
            <w:t>NOMBRE</w:t>
          </w:r>
        </w:p>
        <w:p w14:paraId="06465C47" w14:textId="3EE4B19E" w:rsidR="0039023A" w:rsidRDefault="00C972D3" w:rsidP="0039023A">
          <w:pPr>
            <w:spacing w:after="0"/>
            <w:jc w:val="center"/>
          </w:pPr>
          <w:r w:rsidRPr="00C972D3">
            <w:rPr>
              <w:rFonts w:ascii="Calibri" w:hAnsi="Calibri" w:cs="Calibri"/>
              <w:b/>
              <w:bCs/>
              <w:sz w:val="18"/>
              <w:szCs w:val="18"/>
            </w:rPr>
            <w:t>PROTOCOLO PARA LA ATENCIÓN POR EXPOSICIÓN DE RIESGO BIOLÓGICO LABORAL O NO LABORAL, ANTE LAS INFECCIONES DE TRANSMISIÓN SEXUAL, EL VIRUS DE INMUNODEFICIENCIA HUMANA, EL VIRUS DE LA HEPATITIS B Y EL VIRUS DE LA HEPATITIS C.</w:t>
          </w:r>
        </w:p>
      </w:tc>
      <w:tc>
        <w:tcPr>
          <w:tcW w:w="703" w:type="pct"/>
          <w:tcBorders>
            <w:top w:val="single" w:sz="8" w:space="0" w:color="auto"/>
            <w:left w:val="nil"/>
            <w:bottom w:val="single" w:sz="8" w:space="0" w:color="auto"/>
            <w:right w:val="single" w:sz="8" w:space="0" w:color="auto"/>
          </w:tcBorders>
          <w:vAlign w:val="center"/>
          <w:hideMark/>
        </w:tcPr>
        <w:p w14:paraId="544ED5DA" w14:textId="77777777" w:rsidR="0039023A" w:rsidRDefault="0039023A" w:rsidP="0039023A">
          <w:pPr>
            <w:spacing w:after="0"/>
            <w:jc w:val="center"/>
          </w:pPr>
          <w:r>
            <w:rPr>
              <w:rFonts w:ascii="Calibri" w:hAnsi="Calibri" w:cs="Calibri"/>
              <w:sz w:val="18"/>
              <w:szCs w:val="18"/>
            </w:rPr>
            <w:t>CÓDIGO</w:t>
          </w:r>
        </w:p>
        <w:p w14:paraId="6F6EDFAA" w14:textId="789EDCFB" w:rsidR="0039023A" w:rsidRDefault="0039023A" w:rsidP="0039023A">
          <w:pPr>
            <w:spacing w:after="0"/>
            <w:jc w:val="center"/>
          </w:pPr>
          <w:r w:rsidRPr="00D64698">
            <w:rPr>
              <w:rFonts w:ascii="Calibri" w:hAnsi="Calibri" w:cs="Calibri"/>
              <w:b/>
              <w:bCs/>
              <w:sz w:val="18"/>
              <w:szCs w:val="18"/>
            </w:rPr>
            <w:t>0</w:t>
          </w:r>
          <w:r w:rsidR="001F3806">
            <w:rPr>
              <w:rFonts w:ascii="Calibri" w:hAnsi="Calibri" w:cs="Calibri"/>
              <w:b/>
              <w:bCs/>
              <w:sz w:val="18"/>
              <w:szCs w:val="18"/>
            </w:rPr>
            <w:t>3</w:t>
          </w:r>
          <w:r w:rsidRPr="00D64698">
            <w:rPr>
              <w:rFonts w:ascii="Calibri" w:hAnsi="Calibri" w:cs="Calibri"/>
              <w:b/>
              <w:bCs/>
              <w:sz w:val="18"/>
              <w:szCs w:val="18"/>
            </w:rPr>
            <w:t>-</w:t>
          </w:r>
          <w:r w:rsidR="001F3806">
            <w:rPr>
              <w:rFonts w:ascii="Calibri" w:hAnsi="Calibri" w:cs="Calibri"/>
              <w:b/>
              <w:bCs/>
              <w:sz w:val="18"/>
              <w:szCs w:val="18"/>
            </w:rPr>
            <w:t>M-PT-0</w:t>
          </w:r>
          <w:r w:rsidR="00C972D3">
            <w:rPr>
              <w:rFonts w:ascii="Calibri" w:hAnsi="Calibri" w:cs="Calibri"/>
              <w:b/>
              <w:bCs/>
              <w:sz w:val="18"/>
              <w:szCs w:val="18"/>
            </w:rPr>
            <w:t>70</w:t>
          </w:r>
        </w:p>
      </w:tc>
    </w:tr>
    <w:tr w:rsidR="0039023A" w14:paraId="7FF8D95C" w14:textId="77777777" w:rsidTr="00593BD5">
      <w:trPr>
        <w:trHeight w:val="12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11A64F" w14:textId="77777777" w:rsidR="0039023A" w:rsidRDefault="0039023A" w:rsidP="0039023A">
          <w:pPr>
            <w:spacing w:after="0"/>
          </w:pPr>
        </w:p>
      </w:tc>
      <w:tc>
        <w:tcPr>
          <w:tcW w:w="1651" w:type="pct"/>
          <w:tcBorders>
            <w:top w:val="nil"/>
            <w:left w:val="nil"/>
            <w:bottom w:val="single" w:sz="8" w:space="0" w:color="auto"/>
            <w:right w:val="single" w:sz="8" w:space="0" w:color="auto"/>
          </w:tcBorders>
          <w:vAlign w:val="center"/>
          <w:hideMark/>
        </w:tcPr>
        <w:p w14:paraId="1830C44F" w14:textId="77777777" w:rsidR="0039023A" w:rsidRDefault="0039023A" w:rsidP="0039023A">
          <w:pPr>
            <w:spacing w:after="0"/>
            <w:jc w:val="center"/>
            <w:rPr>
              <w:rFonts w:ascii="Calibri" w:hAnsi="Calibri" w:cs="Calibri"/>
              <w:sz w:val="18"/>
              <w:szCs w:val="18"/>
            </w:rPr>
          </w:pPr>
          <w:r>
            <w:rPr>
              <w:rFonts w:ascii="Calibri" w:hAnsi="Calibri" w:cs="Calibri"/>
              <w:sz w:val="18"/>
              <w:szCs w:val="18"/>
            </w:rPr>
            <w:t>TIPO DE DOCUMENTO</w:t>
          </w:r>
        </w:p>
        <w:p w14:paraId="1426006A" w14:textId="15D39CDA" w:rsidR="002B7844" w:rsidRPr="002B7844" w:rsidRDefault="000D00A0" w:rsidP="0039023A">
          <w:pPr>
            <w:spacing w:after="0"/>
            <w:jc w:val="center"/>
            <w:rPr>
              <w:b/>
              <w:bCs/>
            </w:rPr>
          </w:pPr>
          <w:r w:rsidRPr="000D00A0">
            <w:rPr>
              <w:b/>
              <w:bCs/>
              <w:sz w:val="18"/>
              <w:szCs w:val="18"/>
            </w:rPr>
            <w:t>PROTOCOLO</w:t>
          </w:r>
        </w:p>
      </w:tc>
      <w:tc>
        <w:tcPr>
          <w:tcW w:w="1642" w:type="pct"/>
          <w:tcBorders>
            <w:top w:val="nil"/>
            <w:left w:val="nil"/>
            <w:bottom w:val="single" w:sz="8" w:space="0" w:color="auto"/>
            <w:right w:val="single" w:sz="8" w:space="0" w:color="auto"/>
          </w:tcBorders>
          <w:vAlign w:val="center"/>
          <w:hideMark/>
        </w:tcPr>
        <w:p w14:paraId="05D3DB08" w14:textId="77777777" w:rsidR="0039023A" w:rsidRDefault="0039023A" w:rsidP="0039023A">
          <w:pPr>
            <w:spacing w:after="0"/>
            <w:jc w:val="center"/>
            <w:rPr>
              <w:rFonts w:ascii="Calibri" w:hAnsi="Calibri" w:cs="Calibri"/>
              <w:sz w:val="18"/>
              <w:szCs w:val="18"/>
            </w:rPr>
          </w:pPr>
          <w:r>
            <w:rPr>
              <w:rFonts w:ascii="Calibri" w:hAnsi="Calibri" w:cs="Calibri"/>
              <w:sz w:val="18"/>
              <w:szCs w:val="18"/>
            </w:rPr>
            <w:t>PROCESO</w:t>
          </w:r>
        </w:p>
        <w:p w14:paraId="10EAA293" w14:textId="41699A18" w:rsidR="0039023A" w:rsidRPr="002B7844" w:rsidRDefault="002B7844" w:rsidP="0039023A">
          <w:pPr>
            <w:spacing w:after="0"/>
            <w:jc w:val="center"/>
            <w:rPr>
              <w:b/>
              <w:bCs/>
            </w:rPr>
          </w:pPr>
          <w:r w:rsidRPr="002B7844">
            <w:rPr>
              <w:b/>
              <w:bCs/>
              <w:sz w:val="18"/>
              <w:szCs w:val="18"/>
            </w:rPr>
            <w:t>MISIONAL</w:t>
          </w:r>
        </w:p>
      </w:tc>
      <w:tc>
        <w:tcPr>
          <w:tcW w:w="703" w:type="pct"/>
          <w:tcBorders>
            <w:top w:val="nil"/>
            <w:left w:val="nil"/>
            <w:bottom w:val="single" w:sz="8" w:space="0" w:color="auto"/>
            <w:right w:val="single" w:sz="8" w:space="0" w:color="auto"/>
          </w:tcBorders>
          <w:vAlign w:val="center"/>
          <w:hideMark/>
        </w:tcPr>
        <w:p w14:paraId="146BA07F" w14:textId="77777777" w:rsidR="0039023A" w:rsidRDefault="0039023A" w:rsidP="0039023A">
          <w:pPr>
            <w:spacing w:after="0"/>
            <w:jc w:val="center"/>
          </w:pPr>
          <w:r>
            <w:rPr>
              <w:rFonts w:ascii="Calibri" w:hAnsi="Calibri" w:cs="Calibri"/>
              <w:sz w:val="18"/>
              <w:szCs w:val="18"/>
            </w:rPr>
            <w:t>VERSIÓN 001</w:t>
          </w:r>
        </w:p>
      </w:tc>
    </w:tr>
  </w:tbl>
  <w:p w14:paraId="4F581AC1" w14:textId="77777777" w:rsidR="0039023A" w:rsidRDefault="003902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81351"/>
    <w:multiLevelType w:val="hybridMultilevel"/>
    <w:tmpl w:val="E3582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78"/>
    <w:rsid w:val="00001F21"/>
    <w:rsid w:val="00094EAD"/>
    <w:rsid w:val="000D00A0"/>
    <w:rsid w:val="000D189D"/>
    <w:rsid w:val="00156FF1"/>
    <w:rsid w:val="001912EE"/>
    <w:rsid w:val="001B7615"/>
    <w:rsid w:val="001D62F2"/>
    <w:rsid w:val="001F3806"/>
    <w:rsid w:val="00224319"/>
    <w:rsid w:val="0025210F"/>
    <w:rsid w:val="002543D2"/>
    <w:rsid w:val="0025742D"/>
    <w:rsid w:val="00265674"/>
    <w:rsid w:val="002B7844"/>
    <w:rsid w:val="002C3002"/>
    <w:rsid w:val="003414C0"/>
    <w:rsid w:val="00353295"/>
    <w:rsid w:val="00380F34"/>
    <w:rsid w:val="003834C5"/>
    <w:rsid w:val="0039023A"/>
    <w:rsid w:val="00396363"/>
    <w:rsid w:val="003A220E"/>
    <w:rsid w:val="003C4FA4"/>
    <w:rsid w:val="003E7721"/>
    <w:rsid w:val="00451BBE"/>
    <w:rsid w:val="004B485C"/>
    <w:rsid w:val="004D342D"/>
    <w:rsid w:val="00573B6E"/>
    <w:rsid w:val="00593029"/>
    <w:rsid w:val="005B2C92"/>
    <w:rsid w:val="005E1226"/>
    <w:rsid w:val="00607DC9"/>
    <w:rsid w:val="00640000"/>
    <w:rsid w:val="00655517"/>
    <w:rsid w:val="0069661E"/>
    <w:rsid w:val="006C5018"/>
    <w:rsid w:val="006E4D64"/>
    <w:rsid w:val="00704447"/>
    <w:rsid w:val="007646E1"/>
    <w:rsid w:val="007D67EE"/>
    <w:rsid w:val="008136E9"/>
    <w:rsid w:val="008330A1"/>
    <w:rsid w:val="008365D9"/>
    <w:rsid w:val="00871F84"/>
    <w:rsid w:val="0088451B"/>
    <w:rsid w:val="008D65B4"/>
    <w:rsid w:val="00961106"/>
    <w:rsid w:val="009707B4"/>
    <w:rsid w:val="009B138C"/>
    <w:rsid w:val="009C3991"/>
    <w:rsid w:val="009C4F30"/>
    <w:rsid w:val="009D255C"/>
    <w:rsid w:val="00A13820"/>
    <w:rsid w:val="00A4053B"/>
    <w:rsid w:val="00AA2753"/>
    <w:rsid w:val="00AC4DAC"/>
    <w:rsid w:val="00AE6F99"/>
    <w:rsid w:val="00AF04CF"/>
    <w:rsid w:val="00AF157B"/>
    <w:rsid w:val="00B06C31"/>
    <w:rsid w:val="00B561FD"/>
    <w:rsid w:val="00C0484C"/>
    <w:rsid w:val="00C07DBD"/>
    <w:rsid w:val="00C2386C"/>
    <w:rsid w:val="00C24B68"/>
    <w:rsid w:val="00C61E51"/>
    <w:rsid w:val="00C63BD4"/>
    <w:rsid w:val="00C74B52"/>
    <w:rsid w:val="00C972D3"/>
    <w:rsid w:val="00D16E6C"/>
    <w:rsid w:val="00D53691"/>
    <w:rsid w:val="00DC0712"/>
    <w:rsid w:val="00DE11D8"/>
    <w:rsid w:val="00EA4FA7"/>
    <w:rsid w:val="00EC25F3"/>
    <w:rsid w:val="00EF7735"/>
    <w:rsid w:val="00F340E3"/>
    <w:rsid w:val="00F45684"/>
    <w:rsid w:val="00F77155"/>
    <w:rsid w:val="00F921B6"/>
    <w:rsid w:val="00FB2FFA"/>
    <w:rsid w:val="00FE1449"/>
    <w:rsid w:val="00FE48EB"/>
    <w:rsid w:val="00FF09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E0C7"/>
  <w15:chartTrackingRefBased/>
  <w15:docId w15:val="{6F515DAA-BEF5-4275-B1B6-6C9BC309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753"/>
    <w:pPr>
      <w:keepNext/>
      <w:keepLines/>
      <w:spacing w:before="240" w:after="0"/>
      <w:outlineLvl w:val="0"/>
    </w:pPr>
    <w:rPr>
      <w:rFonts w:asciiTheme="majorHAnsi" w:eastAsiaTheme="majorEastAsia" w:hAnsiTheme="majorHAnsi" w:cstheme="majorBidi"/>
      <w:b/>
      <w:color w:val="002060"/>
      <w:sz w:val="24"/>
      <w:szCs w:val="32"/>
    </w:rPr>
  </w:style>
  <w:style w:type="paragraph" w:styleId="Ttulo2">
    <w:name w:val="heading 2"/>
    <w:basedOn w:val="Normal"/>
    <w:next w:val="Normal"/>
    <w:link w:val="Ttulo2Car"/>
    <w:uiPriority w:val="9"/>
    <w:unhideWhenUsed/>
    <w:qFormat/>
    <w:rsid w:val="00AA2753"/>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02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023A"/>
  </w:style>
  <w:style w:type="paragraph" w:styleId="Piedepgina">
    <w:name w:val="footer"/>
    <w:basedOn w:val="Normal"/>
    <w:link w:val="PiedepginaCar"/>
    <w:uiPriority w:val="99"/>
    <w:unhideWhenUsed/>
    <w:rsid w:val="003902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023A"/>
  </w:style>
  <w:style w:type="character" w:styleId="Hipervnculo">
    <w:name w:val="Hyperlink"/>
    <w:basedOn w:val="Fuentedeprrafopredeter"/>
    <w:uiPriority w:val="99"/>
    <w:unhideWhenUsed/>
    <w:rsid w:val="00C07DBD"/>
    <w:rPr>
      <w:color w:val="0563C1" w:themeColor="hyperlink"/>
      <w:u w:val="single"/>
    </w:rPr>
  </w:style>
  <w:style w:type="character" w:styleId="Mencinsinresolver">
    <w:name w:val="Unresolved Mention"/>
    <w:basedOn w:val="Fuentedeprrafopredeter"/>
    <w:uiPriority w:val="99"/>
    <w:semiHidden/>
    <w:unhideWhenUsed/>
    <w:rsid w:val="00C07DBD"/>
    <w:rPr>
      <w:color w:val="605E5C"/>
      <w:shd w:val="clear" w:color="auto" w:fill="E1DFDD"/>
    </w:rPr>
  </w:style>
  <w:style w:type="table" w:styleId="Tablaconcuadrcula">
    <w:name w:val="Table Grid"/>
    <w:basedOn w:val="Tablanormal"/>
    <w:uiPriority w:val="39"/>
    <w:rsid w:val="00B06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1449"/>
    <w:pPr>
      <w:ind w:left="720"/>
      <w:contextualSpacing/>
    </w:pPr>
  </w:style>
  <w:style w:type="character" w:customStyle="1" w:styleId="Ttulo1Car">
    <w:name w:val="Título 1 Car"/>
    <w:basedOn w:val="Fuentedeprrafopredeter"/>
    <w:link w:val="Ttulo1"/>
    <w:uiPriority w:val="9"/>
    <w:rsid w:val="00AA2753"/>
    <w:rPr>
      <w:rFonts w:asciiTheme="majorHAnsi" w:eastAsiaTheme="majorEastAsia" w:hAnsiTheme="majorHAnsi" w:cstheme="majorBidi"/>
      <w:b/>
      <w:color w:val="002060"/>
      <w:sz w:val="24"/>
      <w:szCs w:val="32"/>
    </w:rPr>
  </w:style>
  <w:style w:type="character" w:customStyle="1" w:styleId="Ttulo2Car">
    <w:name w:val="Título 2 Car"/>
    <w:basedOn w:val="Fuentedeprrafopredeter"/>
    <w:link w:val="Ttulo2"/>
    <w:uiPriority w:val="9"/>
    <w:rsid w:val="00AA2753"/>
    <w:rPr>
      <w:rFonts w:asciiTheme="majorHAnsi" w:eastAsiaTheme="majorEastAsia" w:hAnsiTheme="majorHAnsi" w:cstheme="majorBidi"/>
      <w:color w:val="2F5496" w:themeColor="accent1" w:themeShade="BF"/>
      <w:szCs w:val="26"/>
    </w:rPr>
  </w:style>
  <w:style w:type="paragraph" w:styleId="TtuloTDC">
    <w:name w:val="TOC Heading"/>
    <w:basedOn w:val="Ttulo1"/>
    <w:next w:val="Normal"/>
    <w:uiPriority w:val="39"/>
    <w:unhideWhenUsed/>
    <w:qFormat/>
    <w:rsid w:val="00573B6E"/>
    <w:p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573B6E"/>
    <w:pPr>
      <w:spacing w:after="100"/>
    </w:pPr>
  </w:style>
  <w:style w:type="paragraph" w:styleId="TDC2">
    <w:name w:val="toc 2"/>
    <w:basedOn w:val="Normal"/>
    <w:next w:val="Normal"/>
    <w:autoRedefine/>
    <w:uiPriority w:val="39"/>
    <w:unhideWhenUsed/>
    <w:rsid w:val="00573B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hiv/pub/guidelines/arv2013/arvs2013upplement_dec2014/en/" TargetMode="External"/><Relationship Id="rId13" Type="http://schemas.openxmlformats.org/officeDocument/2006/relationships/hyperlink" Target="http://gpc.minsalud.gov.co/gpc/SitePages/buscador_gpc.aspx" TargetMode="External"/><Relationship Id="rId18" Type="http://schemas.openxmlformats.org/officeDocument/2006/relationships/hyperlink" Target="https://www.cdc.gov/mmwr/preview/mmwrhtml/rr6210a1.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pc.minsalud.gov.co/gpc/SitePages/buscador_gpc.aspx" TargetMode="External"/><Relationship Id="rId17" Type="http://schemas.openxmlformats.org/officeDocument/2006/relationships/hyperlink" Target="https://www.cdc.gov/mmwr/preview/mmwrhtml/rr5516a1.htm" TargetMode="External"/><Relationship Id="rId2" Type="http://schemas.openxmlformats.org/officeDocument/2006/relationships/numbering" Target="numbering.xml"/><Relationship Id="rId16" Type="http://schemas.openxmlformats.org/officeDocument/2006/relationships/hyperlink" Target="http://www.who.int/hiv/pub/guidelines/arv2013/arvs2013upplement_dec201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alud.gov.co/sites/rid/Lists/BibliotecaDigital/RIDE/INEC/IETS/GPC_Comple_ITS.pdf" TargetMode="External"/><Relationship Id="rId5" Type="http://schemas.openxmlformats.org/officeDocument/2006/relationships/webSettings" Target="webSettings.xml"/><Relationship Id="rId15" Type="http://schemas.openxmlformats.org/officeDocument/2006/relationships/hyperlink" Target="https://www.gov.uk/government/publications/eaga-guidance-on-hivpost-exposure-prophylaxis" TargetMode="External"/><Relationship Id="rId10" Type="http://schemas.openxmlformats.org/officeDocument/2006/relationships/hyperlink" Target="https://www.cdc.gov/mmwr/preview/mmwrhtml/rr5516a1.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salud.gov.co/sites/rid/Lists/BibliotecaDigital/RIDE/INEC/IETS/GPC_Comple_ITS.pdf" TargetMode="External"/><Relationship Id="rId14" Type="http://schemas.openxmlformats.org/officeDocument/2006/relationships/hyperlink" Target="http://gpc.minsalud.gov.co/gpc/SitePages/buscador_gpc.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86C8-2028-49F7-B1E1-D9B2E98D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36</Pages>
  <Words>11648</Words>
  <Characters>64069</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Carlos.vera1@utp.edu.co</dc:creator>
  <cp:keywords/>
  <dc:description/>
  <cp:lastModifiedBy>Carlos.vera1@utp.edu.co</cp:lastModifiedBy>
  <cp:revision>83</cp:revision>
  <dcterms:created xsi:type="dcterms:W3CDTF">2021-10-11T12:45:00Z</dcterms:created>
  <dcterms:modified xsi:type="dcterms:W3CDTF">2021-10-12T15:48:00Z</dcterms:modified>
</cp:coreProperties>
</file>